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473F67" w:rsidRDefault="00446E4A">
      <w:pPr>
        <w:pStyle w:val="BodyText"/>
        <w:rPr>
          <w:rFonts w:ascii="Times New Roman"/>
          <w:sz w:val="20"/>
        </w:rPr>
      </w:pPr>
      <w:r w:rsidRPr="00473F67"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473F67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473F67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473F67" w:rsidRDefault="003857C0">
      <w:pPr>
        <w:pStyle w:val="BodyText"/>
        <w:rPr>
          <w:rFonts w:ascii="Times New Roman"/>
          <w:sz w:val="20"/>
        </w:rPr>
      </w:pPr>
      <w:r w:rsidRPr="00473F67"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473F67" w:rsidRDefault="00446E4A">
      <w:pPr>
        <w:pStyle w:val="BodyText"/>
        <w:rPr>
          <w:rFonts w:ascii="Times New Roman"/>
          <w:sz w:val="20"/>
        </w:rPr>
      </w:pPr>
      <w:r w:rsidRPr="00473F67"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473F67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473F67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473F67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473F67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473F67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473F67" w:rsidRDefault="0026580D">
      <w:pPr>
        <w:pStyle w:val="BodyText"/>
        <w:rPr>
          <w:rFonts w:ascii="Times New Roman"/>
          <w:sz w:val="20"/>
        </w:rPr>
      </w:pPr>
      <w:r w:rsidRPr="00473F67"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473F67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473F67" w:rsidRDefault="00446E4A">
      <w:pPr>
        <w:pStyle w:val="BodyText"/>
        <w:rPr>
          <w:rFonts w:ascii="Times New Roman"/>
          <w:sz w:val="20"/>
        </w:rPr>
      </w:pPr>
      <w:r w:rsidRPr="00473F67"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473F67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473F67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473F67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473F67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473F67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473F67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473F67" w:rsidRDefault="00446E4A">
      <w:pPr>
        <w:pStyle w:val="BodyText"/>
        <w:rPr>
          <w:rFonts w:ascii="Times New Roman"/>
          <w:sz w:val="20"/>
        </w:rPr>
      </w:pPr>
      <w:r w:rsidRPr="00473F67"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798A27CE" w:rsidR="00E94FD2" w:rsidRPr="00BE0296" w:rsidRDefault="00827030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  <w:r>
                              <w:rPr>
                                <w:color w:val="002677"/>
                                <w:sz w:val="78"/>
                                <w:lang w:val="pt-B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  <w:lang w:val="pt-BR"/>
                              </w:rPr>
                              <w:t>Compreender e abraçar a diversidade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798A27CE" w:rsidR="00E94FD2" w:rsidRPr="00BE0296" w:rsidRDefault="00827030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  <w:r>
                        <w:rPr>
                          <w:color w:val="002677"/>
                          <w:sz w:val="78"/>
                          <w:lang w:val="pt-BR"/>
                        </w:rPr>
                        <w:br/>
                      </w:r>
                      <w:r>
                        <w:rPr>
                          <w:b/>
                          <w:bCs/>
                          <w:color w:val="002677"/>
                          <w:sz w:val="56"/>
                          <w:szCs w:val="56"/>
                          <w:lang w:val="pt-BR"/>
                        </w:rPr>
                        <w:t>Compreender e abraçar a diversidade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473F67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473F67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473F67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473F67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473F67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473F67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473F67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473F67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473F67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473F67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473F67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473F67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473F67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473F67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473F67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473F67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473F67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473F67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A224937" w:rsidR="00E94FD2" w:rsidRPr="00473F67" w:rsidRDefault="003D35D7" w:rsidP="006D195E">
      <w:pPr>
        <w:pStyle w:val="BodyText"/>
        <w:ind w:firstLine="720"/>
        <w:rPr>
          <w:b/>
          <w:color w:val="002677"/>
          <w:sz w:val="34"/>
          <w:szCs w:val="22"/>
        </w:rPr>
      </w:pPr>
      <w:r w:rsidRPr="00473F67">
        <w:rPr>
          <w:b/>
          <w:bCs/>
          <w:color w:val="002677"/>
          <w:sz w:val="34"/>
          <w:szCs w:val="22"/>
          <w:lang w:val="pt-BR"/>
        </w:rPr>
        <w:t>Treinamento em destaque para julho</w:t>
      </w:r>
    </w:p>
    <w:p w14:paraId="1F126A32" w14:textId="2080C3AD" w:rsidR="006D195E" w:rsidRPr="00473F67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0E30CAFC" w14:textId="2B2870A2" w:rsidR="00EF77D9" w:rsidRPr="00473F67" w:rsidRDefault="00BB0C65" w:rsidP="00EF77D9">
      <w:pPr>
        <w:spacing w:before="11"/>
        <w:ind w:left="720"/>
        <w:rPr>
          <w:b/>
          <w:bCs/>
          <w:color w:val="232323"/>
        </w:rPr>
      </w:pPr>
      <w:r w:rsidRPr="00473F67">
        <w:rPr>
          <w:b/>
          <w:bCs/>
          <w:color w:val="232323"/>
          <w:lang w:val="pt-BR"/>
        </w:rPr>
        <w:t xml:space="preserve">Compreender e abraçar a diversidade </w:t>
      </w:r>
    </w:p>
    <w:p w14:paraId="70F8DC00" w14:textId="77777777" w:rsidR="009A6435" w:rsidRPr="00473F67" w:rsidRDefault="009A6435" w:rsidP="009A6435">
      <w:pPr>
        <w:ind w:left="720"/>
        <w:rPr>
          <w:sz w:val="24"/>
          <w:szCs w:val="24"/>
        </w:rPr>
      </w:pPr>
      <w:r w:rsidRPr="00473F67">
        <w:rPr>
          <w:sz w:val="24"/>
          <w:szCs w:val="24"/>
          <w:lang w:val="pt-BR"/>
        </w:rPr>
        <w:t>Explorando as várias facetas da diversidade, este programa analisa as diferenças culturais, além das diferenças de idade, gênero, estado civil e orientação sexual. Esta sessão também explora os benefícios da diversidade na força de trabalho, bem como maneiras eficazes de obter um local de trabalho seguro e igualitário.</w:t>
      </w:r>
    </w:p>
    <w:p w14:paraId="161CD92C" w14:textId="77777777" w:rsidR="009A6435" w:rsidRPr="00473F67" w:rsidRDefault="009A6435" w:rsidP="009A6435">
      <w:pPr>
        <w:rPr>
          <w:sz w:val="24"/>
          <w:szCs w:val="24"/>
        </w:rPr>
      </w:pPr>
    </w:p>
    <w:p w14:paraId="6BC4397C" w14:textId="065068EB" w:rsidR="009A6435" w:rsidRPr="00473F67" w:rsidRDefault="009A6435" w:rsidP="009A6435">
      <w:pPr>
        <w:ind w:firstLine="720"/>
        <w:rPr>
          <w:sz w:val="24"/>
          <w:szCs w:val="24"/>
        </w:rPr>
      </w:pPr>
      <w:r w:rsidRPr="00473F67">
        <w:rPr>
          <w:sz w:val="24"/>
          <w:szCs w:val="24"/>
          <w:lang w:val="pt-BR"/>
        </w:rPr>
        <w:t>O que os participantes aprenderão:</w:t>
      </w:r>
    </w:p>
    <w:p w14:paraId="55D5B83E" w14:textId="77777777" w:rsidR="009A6435" w:rsidRPr="00473F67" w:rsidRDefault="009A6435" w:rsidP="009A6435">
      <w:pPr>
        <w:ind w:firstLine="720"/>
        <w:rPr>
          <w:sz w:val="24"/>
          <w:szCs w:val="24"/>
        </w:rPr>
      </w:pPr>
    </w:p>
    <w:p w14:paraId="61DE3558" w14:textId="77777777" w:rsidR="009A6435" w:rsidRPr="00473F67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473F67">
        <w:rPr>
          <w:sz w:val="24"/>
          <w:szCs w:val="24"/>
          <w:lang w:val="pt-BR"/>
        </w:rPr>
        <w:t>Explorar questões de diversidade</w:t>
      </w:r>
    </w:p>
    <w:p w14:paraId="24B14F01" w14:textId="77777777" w:rsidR="009A6435" w:rsidRPr="00473F67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473F67">
        <w:rPr>
          <w:sz w:val="24"/>
          <w:szCs w:val="24"/>
          <w:lang w:val="pt-BR"/>
        </w:rPr>
        <w:t>Determinar o impacto do preconceito</w:t>
      </w:r>
    </w:p>
    <w:p w14:paraId="4130B1A1" w14:textId="77777777" w:rsidR="009A6435" w:rsidRPr="00473F67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473F67">
        <w:rPr>
          <w:sz w:val="24"/>
          <w:szCs w:val="24"/>
          <w:lang w:val="pt-BR"/>
        </w:rPr>
        <w:t>Justificar os motivos empresariais para a diversidade</w:t>
      </w:r>
    </w:p>
    <w:p w14:paraId="041B4648" w14:textId="77777777" w:rsidR="009A6435" w:rsidRPr="00473F67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473F67">
        <w:rPr>
          <w:sz w:val="24"/>
          <w:szCs w:val="24"/>
          <w:lang w:val="pt-BR"/>
        </w:rPr>
        <w:t>Discutir a comunicação eficaz sobre tópicos desafiadores</w:t>
      </w:r>
    </w:p>
    <w:p w14:paraId="2563F500" w14:textId="77777777" w:rsidR="009A6435" w:rsidRPr="00473F67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473F67">
        <w:rPr>
          <w:sz w:val="24"/>
          <w:szCs w:val="24"/>
          <w:lang w:val="pt-BR"/>
        </w:rPr>
        <w:t>Identificar e reconhecer os problemas e desafios do “panorama geral”</w:t>
      </w:r>
    </w:p>
    <w:p w14:paraId="06BAC75D" w14:textId="77777777" w:rsidR="009A6435" w:rsidRPr="00473F67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473F67">
        <w:rPr>
          <w:sz w:val="24"/>
          <w:szCs w:val="24"/>
          <w:lang w:val="pt-BR"/>
        </w:rPr>
        <w:t>Discutir como a cultura de cada um influencia os comportamentos no local de trabalho</w:t>
      </w:r>
    </w:p>
    <w:p w14:paraId="467EDD67" w14:textId="77777777" w:rsidR="009A6435" w:rsidRPr="00473F67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473F67">
        <w:rPr>
          <w:sz w:val="24"/>
          <w:szCs w:val="24"/>
          <w:lang w:val="pt-BR"/>
        </w:rPr>
        <w:t xml:space="preserve">Identificar habilidades para compreensão e comunicação eficazes </w:t>
      </w:r>
    </w:p>
    <w:p w14:paraId="0C008F1D" w14:textId="77777777" w:rsidR="009A6435" w:rsidRPr="00473F67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473F67">
        <w:rPr>
          <w:sz w:val="24"/>
          <w:szCs w:val="24"/>
          <w:lang w:val="pt-BR"/>
        </w:rPr>
        <w:t>Examinar os estilos e valores culturais de diferentes grupos e indivíduos dentro de grupos</w:t>
      </w:r>
    </w:p>
    <w:p w14:paraId="7E1C2F77" w14:textId="1A55F1F4" w:rsidR="006343FB" w:rsidRPr="00473F67" w:rsidRDefault="006343FB" w:rsidP="006343FB">
      <w:pPr>
        <w:pStyle w:val="BodyText"/>
        <w:ind w:left="720"/>
        <w:rPr>
          <w:szCs w:val="22"/>
        </w:rPr>
      </w:pPr>
    </w:p>
    <w:p w14:paraId="012ACEE1" w14:textId="732C1009" w:rsidR="00A14437" w:rsidRPr="00473F67" w:rsidRDefault="00527E9F" w:rsidP="009A6435">
      <w:pPr>
        <w:pStyle w:val="BodyText"/>
        <w:ind w:right="600"/>
        <w:jc w:val="center"/>
        <w:rPr>
          <w:sz w:val="20"/>
        </w:rPr>
      </w:pPr>
      <w:r w:rsidRPr="00473F67">
        <w:rPr>
          <w:szCs w:val="22"/>
          <w:lang w:val="pt-BR"/>
        </w:rPr>
        <w:t>Inscreva-se para uma sessão de treinamento ao vivo com duração de uma hora ou use a opção sob demanda para assistir ao treinamento quando lhe for conveniente. As opções de treinamento estão disponíveis em inglês globalmente.</w:t>
      </w:r>
    </w:p>
    <w:p w14:paraId="624F494E" w14:textId="77777777" w:rsidR="00A14437" w:rsidRPr="00473F67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473F6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698"/>
        <w:gridCol w:w="2698"/>
        <w:gridCol w:w="2697"/>
        <w:gridCol w:w="2697"/>
      </w:tblGrid>
      <w:tr w:rsidR="00466541" w:rsidRPr="00473F67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473F67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473F67"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1DCC1659" w:rsidR="00466541" w:rsidRPr="00473F67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473F67">
              <w:rPr>
                <w:color w:val="10253F"/>
                <w:sz w:val="20"/>
                <w:szCs w:val="20"/>
                <w:lang w:val="pt-BR"/>
              </w:rPr>
              <w:t>Sob demanda</w:t>
            </w:r>
          </w:p>
          <w:p w14:paraId="39821871" w14:textId="22EC5DA1" w:rsidR="006C5610" w:rsidRPr="00473F67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473F67">
              <w:rPr>
                <w:color w:val="10253F"/>
                <w:sz w:val="20"/>
                <w:szCs w:val="20"/>
                <w:lang w:val="pt-BR"/>
              </w:rPr>
              <w:t>(sem perguntas e respostas)</w:t>
            </w:r>
          </w:p>
          <w:p w14:paraId="1E66A1EF" w14:textId="625F099D" w:rsidR="00466541" w:rsidRPr="00473F67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30BD29E7" w14:textId="6A4689E8" w:rsidR="00D72FA1" w:rsidRPr="00473F67" w:rsidRDefault="0021673A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473F67">
              <w:rPr>
                <w:sz w:val="28"/>
                <w:szCs w:val="28"/>
                <w:lang w:val="pt-BR"/>
              </w:rPr>
              <w:fldChar w:fldCharType="begin"/>
            </w:r>
            <w:r w:rsidRPr="00473F67">
              <w:rPr>
                <w:sz w:val="28"/>
                <w:szCs w:val="28"/>
                <w:lang w:val="pt-BR"/>
              </w:rPr>
              <w:instrText xml:space="preserve"> HYPERLINK "https://optum-au.webex.com/optum-au/ldr.php?RCID=a64ac42e58bfede3fb0d6cf06a4d28e6" </w:instrText>
            </w:r>
            <w:r w:rsidRPr="00473F67">
              <w:rPr>
                <w:sz w:val="28"/>
                <w:szCs w:val="28"/>
                <w:lang w:val="pt-BR"/>
              </w:rPr>
              <w:fldChar w:fldCharType="separate"/>
            </w:r>
            <w:r w:rsidRPr="00473F67">
              <w:rPr>
                <w:rStyle w:val="Hyperlink"/>
                <w:b/>
                <w:bCs/>
                <w:sz w:val="28"/>
                <w:szCs w:val="28"/>
                <w:lang w:val="pt-BR"/>
              </w:rPr>
              <w:t>Assista agora</w:t>
            </w:r>
          </w:p>
          <w:p w14:paraId="321EBA4C" w14:textId="09C2FA10" w:rsidR="00E65F6E" w:rsidRPr="00473F67" w:rsidRDefault="0021673A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473F67">
              <w:rPr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00C09517" w14:textId="16ECC6CE" w:rsidR="0063658C" w:rsidRPr="00473F67" w:rsidRDefault="0063658C" w:rsidP="00466541">
            <w:pPr>
              <w:spacing w:before="95"/>
              <w:jc w:val="center"/>
              <w:rPr>
                <w:rStyle w:val="Hyperlink"/>
                <w:b/>
                <w:color w:val="auto"/>
                <w:szCs w:val="14"/>
                <w:u w:val="none"/>
              </w:rPr>
            </w:pPr>
            <w:r w:rsidRPr="00473F67">
              <w:rPr>
                <w:rStyle w:val="Hyperlink"/>
                <w:b/>
                <w:bCs/>
                <w:color w:val="auto"/>
                <w:szCs w:val="14"/>
                <w:u w:val="none"/>
                <w:lang w:val="pt-BR"/>
              </w:rPr>
              <w:t>Está sem tempo?</w:t>
            </w:r>
          </w:p>
          <w:p w14:paraId="06167B9B" w14:textId="4D31725D" w:rsidR="00D72FA1" w:rsidRPr="00473F67" w:rsidRDefault="005E614A" w:rsidP="00466541">
            <w:pPr>
              <w:spacing w:before="95"/>
              <w:jc w:val="center"/>
              <w:rPr>
                <w:b/>
                <w:szCs w:val="14"/>
              </w:rPr>
            </w:pPr>
            <w:r w:rsidRPr="00473F67">
              <w:rPr>
                <w:b/>
                <w:bCs/>
                <w:color w:val="000000" w:themeColor="text1"/>
                <w:szCs w:val="14"/>
                <w:lang w:val="pt-BR"/>
              </w:rPr>
              <w:t xml:space="preserve">Assista ao resumo de 10 minutos </w:t>
            </w:r>
            <w:hyperlink r:id="rId11" w:history="1">
              <w:r w:rsidRPr="00473F67">
                <w:rPr>
                  <w:rStyle w:val="Hyperlink"/>
                  <w:b/>
                  <w:bCs/>
                  <w:lang w:val="pt-BR"/>
                </w:rPr>
                <w:t>aqui</w:t>
              </w:r>
            </w:hyperlink>
          </w:p>
          <w:p w14:paraId="35C264EE" w14:textId="02546B14" w:rsidR="00466541" w:rsidRPr="00473F67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28BA3239" w:rsidR="008779F0" w:rsidRPr="00473F67" w:rsidRDefault="00E0556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473F67">
              <w:rPr>
                <w:b/>
                <w:bCs/>
                <w:sz w:val="28"/>
                <w:szCs w:val="18"/>
                <w:lang w:val="pt-BR"/>
              </w:rPr>
              <w:t>18 de julho</w:t>
            </w:r>
          </w:p>
          <w:p w14:paraId="07F1C647" w14:textId="0C96532A" w:rsidR="00466541" w:rsidRPr="00473F67" w:rsidRDefault="00E05563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473F67">
              <w:rPr>
                <w:color w:val="10253F"/>
                <w:sz w:val="20"/>
                <w:szCs w:val="20"/>
                <w:lang w:val="pt-BR"/>
              </w:rPr>
              <w:t>7h às 8h, horário de verão britânico</w:t>
            </w:r>
          </w:p>
          <w:p w14:paraId="28F4B4C1" w14:textId="1ECFC24E" w:rsidR="00A5499F" w:rsidRPr="00473F67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473F67">
              <w:rPr>
                <w:color w:val="10253F"/>
                <w:sz w:val="20"/>
                <w:szCs w:val="20"/>
                <w:lang w:val="pt-BR"/>
              </w:rPr>
              <w:t>(com participação em perguntas e respostas)</w:t>
            </w:r>
          </w:p>
          <w:p w14:paraId="0F9E6105" w14:textId="77777777" w:rsidR="00466541" w:rsidRPr="00473F67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289AA46" w:rsidR="00E05563" w:rsidRPr="00473F67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7A2DF7" w:rsidRPr="00473F6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5E742108" w14:textId="75BA9707" w:rsidR="00AF2BA3" w:rsidRPr="00473F67" w:rsidRDefault="0066426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473F67">
              <w:rPr>
                <w:b/>
                <w:bCs/>
                <w:sz w:val="28"/>
                <w:szCs w:val="18"/>
                <w:lang w:val="pt-BR"/>
              </w:rPr>
              <w:t>19 de julho</w:t>
            </w:r>
          </w:p>
          <w:p w14:paraId="7065DE9B" w14:textId="2B6F4972" w:rsidR="00466541" w:rsidRPr="00473F67" w:rsidRDefault="0066426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473F67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17h às 18h, horário de verão britânico</w:t>
            </w:r>
          </w:p>
          <w:p w14:paraId="720960DD" w14:textId="77777777" w:rsidR="00A5499F" w:rsidRPr="00473F67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473F67">
              <w:rPr>
                <w:color w:val="10253F"/>
                <w:sz w:val="20"/>
                <w:szCs w:val="20"/>
                <w:lang w:val="pt-BR"/>
              </w:rPr>
              <w:t>(com participação em perguntas e respostas)</w:t>
            </w:r>
          </w:p>
          <w:p w14:paraId="2EF0B467" w14:textId="77777777" w:rsidR="00466541" w:rsidRPr="00473F67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794FEC3" w:rsidR="00466541" w:rsidRPr="00473F67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7A2DF7" w:rsidRPr="00473F6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</w:t>
              </w:r>
              <w:r w:rsidR="007A2DF7" w:rsidRPr="00473F6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-</w:t>
              </w:r>
              <w:r w:rsidR="007A2DF7" w:rsidRPr="00473F6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 agora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28241B35" w14:textId="77485B0E" w:rsidR="00AF2BA3" w:rsidRPr="00473F67" w:rsidRDefault="00EC29B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473F67">
              <w:rPr>
                <w:b/>
                <w:bCs/>
                <w:sz w:val="28"/>
                <w:szCs w:val="18"/>
                <w:lang w:val="pt-BR"/>
              </w:rPr>
              <w:t>21 de julho</w:t>
            </w:r>
          </w:p>
          <w:p w14:paraId="295026FD" w14:textId="7E661979" w:rsidR="00466541" w:rsidRPr="00473F67" w:rsidRDefault="0066426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473F67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13h às 14h, horário de verão britânico</w:t>
            </w:r>
          </w:p>
          <w:p w14:paraId="5C5B71C9" w14:textId="77777777" w:rsidR="00A5499F" w:rsidRPr="00473F67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473F67">
              <w:rPr>
                <w:color w:val="10253F"/>
                <w:sz w:val="20"/>
                <w:szCs w:val="20"/>
                <w:lang w:val="pt-BR"/>
              </w:rPr>
              <w:t>(com participação em perguntas e respostas)</w:t>
            </w:r>
          </w:p>
          <w:p w14:paraId="7AC4E437" w14:textId="77777777" w:rsidR="00466541" w:rsidRPr="00473F67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7CE8ECC" w:rsidR="00466541" w:rsidRPr="00473F67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7A2DF7" w:rsidRPr="00473F6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</w:tr>
    </w:tbl>
    <w:p w14:paraId="79FE4C74" w14:textId="37EA2214" w:rsidR="00E94FD2" w:rsidRPr="00473F67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473F67" w:rsidRDefault="00E94FD2">
      <w:pPr>
        <w:pStyle w:val="BodyText"/>
        <w:rPr>
          <w:b/>
          <w:sz w:val="20"/>
        </w:rPr>
      </w:pPr>
    </w:p>
    <w:p w14:paraId="2FC6468D" w14:textId="7A15AF7F" w:rsidR="00E94FD2" w:rsidRPr="00473F67" w:rsidRDefault="006343FB">
      <w:pPr>
        <w:pStyle w:val="BodyText"/>
        <w:spacing w:before="10"/>
        <w:rPr>
          <w:b/>
          <w:sz w:val="20"/>
        </w:rPr>
      </w:pPr>
      <w:r w:rsidRPr="00473F67">
        <w:rPr>
          <w:b/>
          <w:bCs/>
          <w:lang w:val="pt-BR"/>
        </w:rPr>
        <w:tab/>
      </w:r>
    </w:p>
    <w:p w14:paraId="100C297B" w14:textId="0C1291DD" w:rsidR="006343FB" w:rsidRPr="00473F67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473F67">
        <w:rPr>
          <w:b/>
          <w:bCs/>
          <w:szCs w:val="32"/>
          <w:lang w:val="pt-BR"/>
        </w:rPr>
        <w:t xml:space="preserve">O espaço é limitado para as opções de treinamento ao vivo, então é preciso se inscrever antecipadamente. </w:t>
      </w:r>
    </w:p>
    <w:p w14:paraId="4DBCA599" w14:textId="6BA4A6E7" w:rsidR="00FF2F0A" w:rsidRPr="00473F67" w:rsidRDefault="00652FF1">
      <w:pPr>
        <w:pStyle w:val="BodyText"/>
        <w:rPr>
          <w:sz w:val="20"/>
        </w:rPr>
      </w:pPr>
      <w:r w:rsidRPr="00473F67">
        <w:rPr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978F5DC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val="pt-BR"/>
                              </w:rPr>
                              <w:t xml:space="preserve">O treinamento do próximo mês terá como foco a compreensão da neurodiversidade em amigos e familiares. Fique de olho nos links de inscrição para participar da sessão ao vivo ou use a opção sob demanda para assistir à gravação quando lhe for conveniente.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7978F5DC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002677"/>
                          <w:lang w:val="pt-BR"/>
                        </w:rPr>
                        <w:t xml:space="preserve">O treinamento do próximo mês terá como foco a compreensão da neurodiversidade em amigos e familiares. Fique de olho nos links de inscrição para participar da sessão ao vivo ou use a opção sob demanda para assistir à gravação quando lhe for conveniente.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473F67" w:rsidRDefault="006343FB">
      <w:pPr>
        <w:pStyle w:val="BodyText"/>
        <w:rPr>
          <w:sz w:val="20"/>
        </w:rPr>
      </w:pPr>
      <w:r w:rsidRPr="00473F67">
        <w:rPr>
          <w:lang w:val="pt-BR"/>
        </w:rPr>
        <w:tab/>
      </w:r>
    </w:p>
    <w:p w14:paraId="088826F0" w14:textId="002F987E" w:rsidR="00466541" w:rsidRPr="00473F67" w:rsidRDefault="00466541">
      <w:pPr>
        <w:pStyle w:val="BodyText"/>
        <w:rPr>
          <w:sz w:val="20"/>
        </w:rPr>
      </w:pPr>
    </w:p>
    <w:p w14:paraId="4D12F599" w14:textId="2F6AACE5" w:rsidR="00FF2F0A" w:rsidRPr="00473F67" w:rsidRDefault="00FF2F0A">
      <w:pPr>
        <w:pStyle w:val="BodyText"/>
        <w:rPr>
          <w:sz w:val="20"/>
        </w:rPr>
      </w:pPr>
    </w:p>
    <w:p w14:paraId="292A6C6A" w14:textId="36D7DA5B" w:rsidR="00E94FD2" w:rsidRPr="00473F67" w:rsidRDefault="00E94FD2">
      <w:pPr>
        <w:pStyle w:val="BodyText"/>
        <w:rPr>
          <w:sz w:val="20"/>
        </w:rPr>
      </w:pPr>
    </w:p>
    <w:p w14:paraId="5B8DDEA5" w14:textId="58F3CEC3" w:rsidR="00E94FD2" w:rsidRPr="00473F67" w:rsidRDefault="00E94FD2">
      <w:pPr>
        <w:pStyle w:val="BodyText"/>
        <w:rPr>
          <w:sz w:val="20"/>
        </w:rPr>
      </w:pPr>
    </w:p>
    <w:p w14:paraId="6CA34C5C" w14:textId="574AD4AA" w:rsidR="00E94FD2" w:rsidRPr="00473F67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Pr="00473F67" w:rsidRDefault="00E94FD2">
      <w:pPr>
        <w:pStyle w:val="BodyText"/>
        <w:rPr>
          <w:sz w:val="20"/>
        </w:rPr>
      </w:pPr>
    </w:p>
    <w:p w14:paraId="7186D599" w14:textId="53A805CF" w:rsidR="00E94FD2" w:rsidRPr="00473F67" w:rsidRDefault="00E94FD2">
      <w:pPr>
        <w:pStyle w:val="BodyText"/>
        <w:rPr>
          <w:sz w:val="22"/>
        </w:rPr>
      </w:pPr>
    </w:p>
    <w:p w14:paraId="5CBD4DF5" w14:textId="77777777" w:rsidR="00E94FD2" w:rsidRPr="00473F67" w:rsidRDefault="008E3095">
      <w:pPr>
        <w:spacing w:before="94"/>
        <w:ind w:left="913" w:right="879"/>
        <w:jc w:val="center"/>
        <w:rPr>
          <w:b/>
          <w:sz w:val="24"/>
        </w:rPr>
      </w:pPr>
      <w:r w:rsidRPr="00473F67">
        <w:rPr>
          <w:b/>
          <w:bCs/>
          <w:color w:val="FFFFFF"/>
          <w:sz w:val="24"/>
          <w:lang w:val="pt-BR"/>
        </w:rPr>
        <w:t>Introdução</w:t>
      </w:r>
    </w:p>
    <w:p w14:paraId="6564A81D" w14:textId="77777777" w:rsidR="00E94FD2" w:rsidRPr="00473F67" w:rsidRDefault="00E94FD2">
      <w:pPr>
        <w:pStyle w:val="BodyText"/>
        <w:rPr>
          <w:b/>
          <w:sz w:val="20"/>
        </w:rPr>
      </w:pPr>
    </w:p>
    <w:p w14:paraId="619240E4" w14:textId="77777777" w:rsidR="00E94FD2" w:rsidRPr="00473F67" w:rsidRDefault="00E94FD2">
      <w:pPr>
        <w:pStyle w:val="BodyText"/>
        <w:rPr>
          <w:b/>
          <w:sz w:val="20"/>
        </w:rPr>
      </w:pPr>
    </w:p>
    <w:p w14:paraId="42D05B4C" w14:textId="77777777" w:rsidR="00E94FD2" w:rsidRPr="00473F67" w:rsidRDefault="00E94FD2">
      <w:pPr>
        <w:pStyle w:val="BodyText"/>
        <w:rPr>
          <w:b/>
          <w:sz w:val="20"/>
        </w:rPr>
      </w:pPr>
    </w:p>
    <w:p w14:paraId="4E4B3EBC" w14:textId="77777777" w:rsidR="00E94FD2" w:rsidRPr="00473F67" w:rsidRDefault="00E94FD2">
      <w:pPr>
        <w:pStyle w:val="BodyText"/>
        <w:rPr>
          <w:b/>
          <w:sz w:val="20"/>
        </w:rPr>
      </w:pPr>
    </w:p>
    <w:p w14:paraId="0FEF643B" w14:textId="6B1F6593" w:rsidR="009E14D1" w:rsidRPr="00473F67" w:rsidRDefault="009E14D1" w:rsidP="009E14D1">
      <w:pPr>
        <w:spacing w:line="276" w:lineRule="auto"/>
        <w:rPr>
          <w:sz w:val="16"/>
          <w:szCs w:val="16"/>
        </w:rPr>
      </w:pPr>
      <w:r w:rsidRPr="00473F67">
        <w:rPr>
          <w:sz w:val="16"/>
          <w:szCs w:val="16"/>
          <w:lang w:val="pt-BR"/>
        </w:rPr>
        <w:t>Este programa não deve ser usado em caso de emergência ou necessidade de cuidados urgentes. Em caso de emergência, ligue para 911 se estiver nos Estados Unidos, para o número</w:t>
      </w:r>
      <w:r w:rsidR="00473F67">
        <w:rPr>
          <w:sz w:val="16"/>
          <w:szCs w:val="16"/>
          <w:lang w:val="pt-BR"/>
        </w:rPr>
        <w:t xml:space="preserve"> </w:t>
      </w:r>
      <w:r w:rsidRPr="00473F67">
        <w:rPr>
          <w:sz w:val="16"/>
          <w:szCs w:val="16"/>
          <w:lang w:val="pt-BR"/>
        </w:rPr>
        <w:t>dos serviços de emergência locais se estiver fora dos Estados Unidos ou vá até o ambulatório ou pronto-socorro mais próximo. Este programa não substitui os cuidados de um médico ou</w:t>
      </w:r>
      <w:r w:rsidR="00473F67">
        <w:rPr>
          <w:sz w:val="16"/>
          <w:szCs w:val="16"/>
          <w:lang w:val="pt-BR"/>
        </w:rPr>
        <w:t xml:space="preserve"> </w:t>
      </w:r>
      <w:r w:rsidRPr="00473F67">
        <w:rPr>
          <w:sz w:val="16"/>
          <w:szCs w:val="16"/>
          <w:lang w:val="pt-BR"/>
        </w:rPr>
        <w:t>profissional. Por causa de possíveis conflitos de interesse, não podemos oferecer consulta jurídica em casos que possam envolver ação jurídica contra a Optum e suas</w:t>
      </w:r>
      <w:r w:rsidR="00473F67">
        <w:rPr>
          <w:sz w:val="16"/>
          <w:szCs w:val="16"/>
          <w:lang w:val="pt-BR"/>
        </w:rPr>
        <w:t xml:space="preserve"> </w:t>
      </w:r>
      <w:r w:rsidRPr="00473F67">
        <w:rPr>
          <w:sz w:val="16"/>
          <w:szCs w:val="16"/>
          <w:lang w:val="pt-BR"/>
        </w:rPr>
        <w:t>afiliadas ou contra qualquer entidade por meio da qual o participante receba tais serviços, seja direta ou indiretamente (ex.: empregadora ou plano de saúde). Este programa e todos os seus</w:t>
      </w:r>
      <w:r w:rsidR="00473F67">
        <w:rPr>
          <w:sz w:val="16"/>
          <w:szCs w:val="16"/>
          <w:lang w:val="pt-BR"/>
        </w:rPr>
        <w:t xml:space="preserve"> </w:t>
      </w:r>
      <w:r w:rsidRPr="00473F67">
        <w:rPr>
          <w:sz w:val="16"/>
          <w:szCs w:val="16"/>
          <w:lang w:val="pt-BR"/>
        </w:rPr>
        <w:t>componentes, principalmente os serviços prestados a membros da família menores de 16 anos, podem não estar disponíveis em todas as localidades e estão sujeitos a mudanças sem aviso</w:t>
      </w:r>
      <w:r w:rsidR="00473F67">
        <w:rPr>
          <w:sz w:val="16"/>
          <w:szCs w:val="16"/>
          <w:lang w:val="pt-BR"/>
        </w:rPr>
        <w:t xml:space="preserve"> </w:t>
      </w:r>
      <w:r w:rsidRPr="00473F67">
        <w:rPr>
          <w:sz w:val="16"/>
          <w:szCs w:val="16"/>
          <w:lang w:val="pt-BR"/>
        </w:rPr>
        <w:t>prévio. A experiência e/ou os níveis educacionais dos recursos do Programa de Assistência ao Funcionário podem variar com base nos requisitos do contrato ou nos requisitos</w:t>
      </w:r>
      <w:r w:rsidR="00473F67">
        <w:rPr>
          <w:sz w:val="16"/>
          <w:szCs w:val="16"/>
          <w:lang w:val="pt-BR"/>
        </w:rPr>
        <w:t xml:space="preserve"> </w:t>
      </w:r>
      <w:r w:rsidRPr="00473F67">
        <w:rPr>
          <w:sz w:val="16"/>
          <w:szCs w:val="16"/>
          <w:lang w:val="pt-BR"/>
        </w:rPr>
        <w:t>regulatórios do país. Poderá haver exclusões e limitações de cobertura.</w:t>
      </w:r>
    </w:p>
    <w:p w14:paraId="589813F1" w14:textId="77777777" w:rsidR="009E14D1" w:rsidRPr="00473F67" w:rsidRDefault="009E14D1" w:rsidP="009E14D1">
      <w:pPr>
        <w:spacing w:line="276" w:lineRule="auto"/>
        <w:rPr>
          <w:sz w:val="16"/>
          <w:szCs w:val="16"/>
        </w:rPr>
      </w:pPr>
    </w:p>
    <w:p w14:paraId="2A76090F" w14:textId="2E88ADAB" w:rsidR="00E94FD2" w:rsidRPr="00473F67" w:rsidRDefault="009E14D1" w:rsidP="009E14D1">
      <w:pPr>
        <w:spacing w:line="276" w:lineRule="auto"/>
        <w:rPr>
          <w:sz w:val="16"/>
          <w:szCs w:val="16"/>
        </w:rPr>
      </w:pPr>
      <w:r w:rsidRPr="00473F67">
        <w:rPr>
          <w:sz w:val="16"/>
          <w:szCs w:val="16"/>
          <w:lang w:val="pt-BR"/>
        </w:rPr>
        <w:t>© 2023 Optum, Inc. Todos os direitos reservados. A Optum é uma marca registrada da Optum, Inc. nos Estados Unidos e em outras jurisdições. Todas as demais marcas ou os nomes de</w:t>
      </w:r>
      <w:r w:rsidR="00473F67">
        <w:rPr>
          <w:sz w:val="16"/>
          <w:szCs w:val="16"/>
          <w:lang w:val="pt-BR"/>
        </w:rPr>
        <w:t xml:space="preserve"> </w:t>
      </w:r>
      <w:r w:rsidRPr="00473F67">
        <w:rPr>
          <w:sz w:val="16"/>
          <w:szCs w:val="16"/>
          <w:lang w:val="pt-BR"/>
        </w:rPr>
        <w:t>produtos mencionados são marcas registradas ou comerciais de propriedade dos seus respectivos donos. A Optum é uma empregadora que oferece oportunidades igualitárias.</w:t>
      </w:r>
    </w:p>
    <w:sectPr w:rsidR="00E94FD2" w:rsidRPr="00473F67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292559038">
    <w:abstractNumId w:val="3"/>
  </w:num>
  <w:num w:numId="2" w16cid:durableId="1768235605">
    <w:abstractNumId w:val="2"/>
  </w:num>
  <w:num w:numId="3" w16cid:durableId="1648585420">
    <w:abstractNumId w:val="4"/>
  </w:num>
  <w:num w:numId="4" w16cid:durableId="691230430">
    <w:abstractNumId w:val="0"/>
  </w:num>
  <w:num w:numId="5" w16cid:durableId="1037046102">
    <w:abstractNumId w:val="7"/>
  </w:num>
  <w:num w:numId="6" w16cid:durableId="264964499">
    <w:abstractNumId w:val="6"/>
  </w:num>
  <w:num w:numId="7" w16cid:durableId="352077718">
    <w:abstractNumId w:val="5"/>
  </w:num>
  <w:num w:numId="8" w16cid:durableId="158880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73F67"/>
    <w:rsid w:val="00486DE1"/>
    <w:rsid w:val="004A1D65"/>
    <w:rsid w:val="004D453F"/>
    <w:rsid w:val="004F3E6D"/>
    <w:rsid w:val="00527E9F"/>
    <w:rsid w:val="005865F3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A2DF7"/>
    <w:rsid w:val="007B31FC"/>
    <w:rsid w:val="007B3D44"/>
    <w:rsid w:val="007F7ADB"/>
    <w:rsid w:val="00807511"/>
    <w:rsid w:val="00826755"/>
    <w:rsid w:val="00827030"/>
    <w:rsid w:val="008779F0"/>
    <w:rsid w:val="008D2A5D"/>
    <w:rsid w:val="008D5563"/>
    <w:rsid w:val="008E3095"/>
    <w:rsid w:val="00910037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47568"/>
    <w:rsid w:val="00B66B85"/>
    <w:rsid w:val="00BA57F9"/>
    <w:rsid w:val="00BB0C65"/>
    <w:rsid w:val="00BD2802"/>
    <w:rsid w:val="00BE0296"/>
    <w:rsid w:val="00C03BD1"/>
    <w:rsid w:val="00CE3C03"/>
    <w:rsid w:val="00CE6430"/>
    <w:rsid w:val="00D72FA1"/>
    <w:rsid w:val="00E05563"/>
    <w:rsid w:val="00E4588F"/>
    <w:rsid w:val="00E56132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0UgQA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A0UbQA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recordingservice/sites/optum/recording/9f15653bd221103bbff9005056811eca/playbac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0UlQ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Bischoff, Kaitlin R</cp:lastModifiedBy>
  <cp:revision>2</cp:revision>
  <dcterms:created xsi:type="dcterms:W3CDTF">2023-06-02T14:34:00Z</dcterms:created>
  <dcterms:modified xsi:type="dcterms:W3CDTF">2023-06-06T20:26:00Z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