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967A10" w:rsidRDefault="00446E4A">
      <w:pPr>
        <w:pStyle w:val="BodyText"/>
        <w:rPr>
          <w:rFonts w:ascii="Times New Roman"/>
          <w:sz w:val="20"/>
        </w:rPr>
      </w:pPr>
      <w:r w:rsidRPr="00967A10"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967A10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967A10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967A10" w:rsidRDefault="003857C0">
      <w:pPr>
        <w:pStyle w:val="BodyText"/>
        <w:rPr>
          <w:rFonts w:ascii="Times New Roman"/>
          <w:sz w:val="20"/>
        </w:rPr>
      </w:pPr>
      <w:r w:rsidRPr="00967A10"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967A10" w:rsidRDefault="00446E4A">
      <w:pPr>
        <w:pStyle w:val="BodyText"/>
        <w:rPr>
          <w:rFonts w:ascii="Times New Roman"/>
          <w:sz w:val="20"/>
        </w:rPr>
      </w:pPr>
      <w:r w:rsidRPr="00967A10"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967A10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967A10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967A10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967A10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967A10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967A10" w:rsidRDefault="0026580D">
      <w:pPr>
        <w:pStyle w:val="BodyText"/>
        <w:rPr>
          <w:rFonts w:ascii="Times New Roman"/>
          <w:sz w:val="20"/>
        </w:rPr>
      </w:pPr>
      <w:r w:rsidRPr="00967A10"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967A10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967A10" w:rsidRDefault="00446E4A">
      <w:pPr>
        <w:pStyle w:val="BodyText"/>
        <w:rPr>
          <w:rFonts w:ascii="Times New Roman"/>
          <w:sz w:val="20"/>
        </w:rPr>
      </w:pPr>
      <w:r w:rsidRPr="00967A10"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967A10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967A10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967A10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967A10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967A10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967A10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967A10" w:rsidRDefault="00446E4A">
      <w:pPr>
        <w:pStyle w:val="BodyText"/>
        <w:rPr>
          <w:rFonts w:ascii="Times New Roman"/>
          <w:sz w:val="20"/>
        </w:rPr>
      </w:pPr>
      <w:r w:rsidRPr="00967A10"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798A27CE" w:rsidR="00E94FD2" w:rsidRPr="00BE0296" w:rsidRDefault="00827030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Formazione per i membri:</w:t>
                            </w:r>
                            <w:r>
                              <w:rPr>
                                <w:color w:val="002677"/>
                                <w:sz w:val="78"/>
                                <w:lang w:val="it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  <w:lang w:val="it"/>
                              </w:rPr>
                              <w:t>Comprendere e accettare la diversità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798A27CE" w:rsidR="00E94FD2" w:rsidRPr="00BE0296" w:rsidRDefault="00827030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Formazione per i membri:</w:t>
                      </w:r>
                      <w:r>
                        <w:rPr>
                          <w:color w:val="002677"/>
                          <w:sz w:val="78"/>
                          <w:lang w:val="it"/>
                        </w:rPr>
                        <w:br/>
                      </w:r>
                      <w:r>
                        <w:rPr>
                          <w:b/>
                          <w:bCs/>
                          <w:color w:val="002677"/>
                          <w:sz w:val="56"/>
                          <w:szCs w:val="56"/>
                          <w:lang w:val="it"/>
                        </w:rPr>
                        <w:t>Comprendere e accettare la diversità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967A10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967A10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967A10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967A10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967A10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967A10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967A10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967A10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967A10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967A10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967A10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967A10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967A10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967A10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967A10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967A10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967A10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967A10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A224937" w:rsidR="00E94FD2" w:rsidRPr="00967A10" w:rsidRDefault="003D35D7" w:rsidP="006D195E">
      <w:pPr>
        <w:pStyle w:val="BodyText"/>
        <w:ind w:firstLine="720"/>
        <w:rPr>
          <w:b/>
          <w:color w:val="002677"/>
          <w:sz w:val="34"/>
          <w:szCs w:val="22"/>
        </w:rPr>
      </w:pPr>
      <w:r w:rsidRPr="00967A10">
        <w:rPr>
          <w:b/>
          <w:bCs/>
          <w:color w:val="002677"/>
          <w:sz w:val="34"/>
          <w:szCs w:val="22"/>
          <w:lang w:val="it"/>
        </w:rPr>
        <w:t>Anteprima sulla formazione di luglio</w:t>
      </w:r>
    </w:p>
    <w:p w14:paraId="1F126A32" w14:textId="2080C3AD" w:rsidR="006D195E" w:rsidRPr="00967A10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0E30CAFC" w14:textId="2B2870A2" w:rsidR="00EF77D9" w:rsidRPr="00967A10" w:rsidRDefault="00BB0C65" w:rsidP="00EF77D9">
      <w:pPr>
        <w:spacing w:before="11"/>
        <w:ind w:left="720"/>
        <w:rPr>
          <w:b/>
          <w:bCs/>
          <w:color w:val="232323"/>
        </w:rPr>
      </w:pPr>
      <w:r w:rsidRPr="00967A10">
        <w:rPr>
          <w:b/>
          <w:bCs/>
          <w:color w:val="232323"/>
          <w:lang w:val="it"/>
        </w:rPr>
        <w:t xml:space="preserve">Comprendere e accettare la diversità </w:t>
      </w:r>
    </w:p>
    <w:p w14:paraId="70F8DC00" w14:textId="77777777" w:rsidR="009A6435" w:rsidRPr="00967A10" w:rsidRDefault="009A6435" w:rsidP="009A6435">
      <w:pPr>
        <w:ind w:left="720"/>
        <w:rPr>
          <w:sz w:val="24"/>
          <w:szCs w:val="24"/>
        </w:rPr>
      </w:pPr>
      <w:r w:rsidRPr="00967A10">
        <w:rPr>
          <w:sz w:val="24"/>
          <w:szCs w:val="24"/>
          <w:lang w:val="it"/>
        </w:rPr>
        <w:t>Esplorando le mille sfaccettature della diversità, questo programma vuole esaminare le differenze culturali, di età, sesso, stato civile e orientamento sessuale. Questa lezione esplora inoltre i vantaggi della diversità in ambito lavorativo e i modi efficaci per creare un posto di lavoro sicuro e imparziale.</w:t>
      </w:r>
    </w:p>
    <w:p w14:paraId="161CD92C" w14:textId="77777777" w:rsidR="009A6435" w:rsidRPr="00967A10" w:rsidRDefault="009A6435" w:rsidP="009A6435">
      <w:pPr>
        <w:rPr>
          <w:sz w:val="24"/>
          <w:szCs w:val="24"/>
        </w:rPr>
      </w:pPr>
    </w:p>
    <w:p w14:paraId="6BC4397C" w14:textId="065068EB" w:rsidR="009A6435" w:rsidRPr="00967A10" w:rsidRDefault="009A6435" w:rsidP="009A6435">
      <w:pPr>
        <w:ind w:firstLine="720"/>
        <w:rPr>
          <w:sz w:val="24"/>
          <w:szCs w:val="24"/>
        </w:rPr>
      </w:pPr>
      <w:r w:rsidRPr="00967A10">
        <w:rPr>
          <w:sz w:val="24"/>
          <w:szCs w:val="24"/>
          <w:lang w:val="it"/>
        </w:rPr>
        <w:t>I partecipanti potranno:</w:t>
      </w:r>
    </w:p>
    <w:p w14:paraId="55D5B83E" w14:textId="77777777" w:rsidR="009A6435" w:rsidRPr="00967A10" w:rsidRDefault="009A6435" w:rsidP="009A6435">
      <w:pPr>
        <w:ind w:firstLine="720"/>
        <w:rPr>
          <w:sz w:val="24"/>
          <w:szCs w:val="24"/>
        </w:rPr>
      </w:pPr>
    </w:p>
    <w:p w14:paraId="61DE3558" w14:textId="77777777" w:rsidR="009A6435" w:rsidRPr="00967A10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967A10">
        <w:rPr>
          <w:sz w:val="24"/>
          <w:szCs w:val="24"/>
          <w:lang w:val="it"/>
        </w:rPr>
        <w:t>Analizzare le problematiche legate alla diversità</w:t>
      </w:r>
    </w:p>
    <w:p w14:paraId="24B14F01" w14:textId="77777777" w:rsidR="009A6435" w:rsidRPr="00967A10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967A10">
        <w:rPr>
          <w:sz w:val="24"/>
          <w:szCs w:val="24"/>
          <w:lang w:val="it"/>
        </w:rPr>
        <w:t>Comprendere il peso del pregiudizio</w:t>
      </w:r>
    </w:p>
    <w:p w14:paraId="4130B1A1" w14:textId="77777777" w:rsidR="009A6435" w:rsidRPr="00967A10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967A10">
        <w:rPr>
          <w:sz w:val="24"/>
          <w:szCs w:val="24"/>
          <w:lang w:val="it"/>
        </w:rPr>
        <w:t>Promuovere la diversità in ambito lavorativo</w:t>
      </w:r>
    </w:p>
    <w:p w14:paraId="041B4648" w14:textId="77777777" w:rsidR="009A6435" w:rsidRPr="00967A10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967A10">
        <w:rPr>
          <w:sz w:val="24"/>
          <w:szCs w:val="24"/>
          <w:lang w:val="it"/>
        </w:rPr>
        <w:t>Portare avanti una comunicazione efficace su argomenti impegnativi</w:t>
      </w:r>
    </w:p>
    <w:p w14:paraId="2563F500" w14:textId="77777777" w:rsidR="009A6435" w:rsidRPr="00967A10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967A10">
        <w:rPr>
          <w:sz w:val="24"/>
          <w:szCs w:val="24"/>
          <w:lang w:val="it"/>
        </w:rPr>
        <w:t>Identificare e riconoscere i problemi e le sfide del "quadro generale"</w:t>
      </w:r>
    </w:p>
    <w:p w14:paraId="06BAC75D" w14:textId="77777777" w:rsidR="009A6435" w:rsidRPr="00967A10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967A10">
        <w:rPr>
          <w:sz w:val="24"/>
          <w:szCs w:val="24"/>
          <w:lang w:val="it"/>
        </w:rPr>
        <w:t>Riconoscere come la propria cultura influenza il comportamento in ambito lavorativo</w:t>
      </w:r>
    </w:p>
    <w:p w14:paraId="467EDD67" w14:textId="77777777" w:rsidR="009A6435" w:rsidRPr="00967A10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967A10">
        <w:rPr>
          <w:sz w:val="24"/>
          <w:szCs w:val="24"/>
          <w:lang w:val="it"/>
        </w:rPr>
        <w:t xml:space="preserve">Individuare le competenze alla base di una comprensione e una comunicazione efficaci </w:t>
      </w:r>
    </w:p>
    <w:p w14:paraId="0C008F1D" w14:textId="77777777" w:rsidR="009A6435" w:rsidRPr="00967A10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967A10">
        <w:rPr>
          <w:sz w:val="24"/>
          <w:szCs w:val="24"/>
          <w:lang w:val="it"/>
        </w:rPr>
        <w:t>Esaminare gli stili e i valori culturali di gruppi diversi e del singolo nel contesto di gruppo</w:t>
      </w:r>
    </w:p>
    <w:p w14:paraId="7E1C2F77" w14:textId="1A55F1F4" w:rsidR="006343FB" w:rsidRPr="00967A10" w:rsidRDefault="006343FB" w:rsidP="006343FB">
      <w:pPr>
        <w:pStyle w:val="BodyText"/>
        <w:ind w:left="720"/>
        <w:rPr>
          <w:szCs w:val="22"/>
        </w:rPr>
      </w:pPr>
    </w:p>
    <w:p w14:paraId="012ACEE1" w14:textId="732C1009" w:rsidR="00A14437" w:rsidRPr="00967A10" w:rsidRDefault="00527E9F" w:rsidP="009A6435">
      <w:pPr>
        <w:pStyle w:val="BodyText"/>
        <w:ind w:right="600"/>
        <w:jc w:val="center"/>
        <w:rPr>
          <w:sz w:val="20"/>
        </w:rPr>
      </w:pPr>
      <w:r w:rsidRPr="00967A10">
        <w:rPr>
          <w:szCs w:val="22"/>
          <w:lang w:val="it"/>
        </w:rPr>
        <w:t>Iscriviti a una lezione dal vivo della durata di 1 ora oppure utilizza l’opzione su richiesta per accedere alle lezioni registrate quando ti rimane più comodo. La formazione viene erogata in lingua inglese ed è disponibile a livello globale.</w:t>
      </w:r>
    </w:p>
    <w:p w14:paraId="624F494E" w14:textId="77777777" w:rsidR="00A14437" w:rsidRPr="00967A10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967A10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723"/>
        <w:gridCol w:w="2689"/>
        <w:gridCol w:w="2689"/>
        <w:gridCol w:w="2689"/>
      </w:tblGrid>
      <w:tr w:rsidR="00466541" w:rsidRPr="00967A10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967A1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967A10"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1DCC1659" w:rsidR="00466541" w:rsidRPr="00967A10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67A10">
              <w:rPr>
                <w:color w:val="10253F"/>
                <w:sz w:val="20"/>
                <w:szCs w:val="20"/>
                <w:lang w:val="it"/>
              </w:rPr>
              <w:t>Su richiesta</w:t>
            </w:r>
          </w:p>
          <w:p w14:paraId="39821871" w14:textId="22EC5DA1" w:rsidR="006C5610" w:rsidRPr="00967A10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67A10"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  <w:p w14:paraId="1E66A1EF" w14:textId="625F099D" w:rsidR="00466541" w:rsidRPr="00967A1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30BD29E7" w14:textId="6A4689E8" w:rsidR="00D72FA1" w:rsidRPr="00967A10" w:rsidRDefault="0021673A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967A10">
              <w:rPr>
                <w:sz w:val="28"/>
                <w:szCs w:val="28"/>
                <w:lang w:val="it"/>
              </w:rPr>
              <w:fldChar w:fldCharType="begin"/>
            </w:r>
            <w:r w:rsidRPr="00967A10">
              <w:rPr>
                <w:sz w:val="28"/>
                <w:szCs w:val="28"/>
                <w:lang w:val="it"/>
              </w:rPr>
              <w:instrText xml:space="preserve"> HYPERLINK "https://optum-au.webex.com/optum-au/ldr.php?RCID=a64ac42e58bfede3fb0d6cf06a4d28e6" </w:instrText>
            </w:r>
            <w:r w:rsidRPr="00967A10">
              <w:rPr>
                <w:sz w:val="28"/>
                <w:szCs w:val="28"/>
                <w:lang w:val="it"/>
              </w:rPr>
              <w:fldChar w:fldCharType="separate"/>
            </w:r>
            <w:r w:rsidRPr="00967A10">
              <w:rPr>
                <w:rStyle w:val="Hyperlink"/>
                <w:b/>
                <w:bCs/>
                <w:sz w:val="28"/>
                <w:szCs w:val="28"/>
                <w:lang w:val="it"/>
              </w:rPr>
              <w:t>Guard</w:t>
            </w:r>
            <w:r w:rsidRPr="00967A10">
              <w:rPr>
                <w:rStyle w:val="Hyperlink"/>
                <w:b/>
                <w:bCs/>
                <w:sz w:val="28"/>
                <w:szCs w:val="28"/>
                <w:lang w:val="it"/>
              </w:rPr>
              <w:t>a</w:t>
            </w:r>
            <w:r w:rsidRPr="00967A10">
              <w:rPr>
                <w:rStyle w:val="Hyperlink"/>
                <w:b/>
                <w:bCs/>
                <w:sz w:val="28"/>
                <w:szCs w:val="28"/>
                <w:lang w:val="it"/>
              </w:rPr>
              <w:t xml:space="preserve"> ora</w:t>
            </w:r>
          </w:p>
          <w:p w14:paraId="321EBA4C" w14:textId="09C2FA10" w:rsidR="00E65F6E" w:rsidRPr="00967A10" w:rsidRDefault="0021673A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967A10">
              <w:rPr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00C09517" w14:textId="16ECC6CE" w:rsidR="0063658C" w:rsidRPr="00967A10" w:rsidRDefault="0063658C" w:rsidP="00466541">
            <w:pPr>
              <w:spacing w:before="95"/>
              <w:jc w:val="center"/>
              <w:rPr>
                <w:rStyle w:val="Hyperlink"/>
                <w:b/>
                <w:color w:val="auto"/>
                <w:szCs w:val="14"/>
                <w:u w:val="none"/>
              </w:rPr>
            </w:pPr>
            <w:r w:rsidRPr="00967A10">
              <w:rPr>
                <w:rStyle w:val="Hyperlink"/>
                <w:b/>
                <w:bCs/>
                <w:color w:val="auto"/>
                <w:szCs w:val="14"/>
                <w:u w:val="none"/>
                <w:lang w:val="it"/>
              </w:rPr>
              <w:t>Hai poco tempo?</w:t>
            </w:r>
          </w:p>
          <w:p w14:paraId="06167B9B" w14:textId="338452E3" w:rsidR="00D72FA1" w:rsidRPr="00967A10" w:rsidRDefault="005E614A" w:rsidP="00466541">
            <w:pPr>
              <w:spacing w:before="95"/>
              <w:jc w:val="center"/>
              <w:rPr>
                <w:b/>
                <w:szCs w:val="14"/>
              </w:rPr>
            </w:pPr>
            <w:r w:rsidRPr="00967A10">
              <w:rPr>
                <w:b/>
                <w:bCs/>
                <w:color w:val="000000" w:themeColor="text1"/>
                <w:szCs w:val="14"/>
                <w:lang w:val="it"/>
              </w:rPr>
              <w:t xml:space="preserve">Guarda il riepilogo di 10 minuti </w:t>
            </w:r>
            <w:hyperlink r:id="rId11" w:history="1">
              <w:r w:rsidRPr="00967A10">
                <w:rPr>
                  <w:rStyle w:val="Hyperlink"/>
                  <w:b/>
                  <w:bCs/>
                  <w:lang w:val="it"/>
                </w:rPr>
                <w:t>q</w:t>
              </w:r>
              <w:r w:rsidRPr="00967A10">
                <w:rPr>
                  <w:rStyle w:val="Hyperlink"/>
                  <w:b/>
                  <w:bCs/>
                  <w:lang w:val="it"/>
                </w:rPr>
                <w:t>u</w:t>
              </w:r>
              <w:r w:rsidRPr="00967A10">
                <w:rPr>
                  <w:rStyle w:val="Hyperlink"/>
                  <w:b/>
                  <w:bCs/>
                  <w:lang w:val="it"/>
                </w:rPr>
                <w:t>i</w:t>
              </w:r>
            </w:hyperlink>
          </w:p>
          <w:p w14:paraId="35C264EE" w14:textId="02546B14" w:rsidR="00466541" w:rsidRPr="00967A10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28BA3239" w:rsidR="008779F0" w:rsidRPr="00967A10" w:rsidRDefault="00E0556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967A10">
              <w:rPr>
                <w:b/>
                <w:bCs/>
                <w:sz w:val="28"/>
                <w:szCs w:val="18"/>
                <w:lang w:val="it"/>
              </w:rPr>
              <w:t>18 luglio</w:t>
            </w:r>
          </w:p>
          <w:p w14:paraId="07F1C647" w14:textId="0C96532A" w:rsidR="00466541" w:rsidRPr="00967A10" w:rsidRDefault="00E05563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67A10">
              <w:rPr>
                <w:color w:val="10253F"/>
                <w:sz w:val="20"/>
                <w:szCs w:val="20"/>
                <w:lang w:val="it"/>
              </w:rPr>
              <w:t>07:00-08:00 BST</w:t>
            </w:r>
          </w:p>
          <w:p w14:paraId="28F4B4C1" w14:textId="1ECFC24E" w:rsidR="00A5499F" w:rsidRPr="00967A10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67A10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0F9E6105" w14:textId="77777777" w:rsidR="00466541" w:rsidRPr="00967A1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289AA46" w:rsidR="00E05563" w:rsidRPr="00967A10" w:rsidRDefault="004C7675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3A3BCE" w:rsidRPr="00967A10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5E742108" w14:textId="75BA9707" w:rsidR="00AF2BA3" w:rsidRPr="00967A10" w:rsidRDefault="0066426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967A10">
              <w:rPr>
                <w:b/>
                <w:bCs/>
                <w:sz w:val="28"/>
                <w:szCs w:val="18"/>
                <w:lang w:val="it"/>
              </w:rPr>
              <w:t>19 luglio</w:t>
            </w:r>
          </w:p>
          <w:p w14:paraId="7065DE9B" w14:textId="2B6F4972" w:rsidR="00466541" w:rsidRPr="00967A10" w:rsidRDefault="0066426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967A10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17:00-18:00 BST</w:t>
            </w:r>
          </w:p>
          <w:p w14:paraId="720960DD" w14:textId="77777777" w:rsidR="00A5499F" w:rsidRPr="00967A10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67A10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2EF0B467" w14:textId="77777777" w:rsidR="00466541" w:rsidRPr="00967A10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794FEC3" w:rsidR="00466541" w:rsidRPr="00967A10" w:rsidRDefault="004C7675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A3BCE" w:rsidRPr="00967A10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28241B35" w14:textId="77485B0E" w:rsidR="00AF2BA3" w:rsidRPr="00967A10" w:rsidRDefault="00EC29B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967A10">
              <w:rPr>
                <w:b/>
                <w:bCs/>
                <w:sz w:val="28"/>
                <w:szCs w:val="18"/>
                <w:lang w:val="it"/>
              </w:rPr>
              <w:t>21 luglio</w:t>
            </w:r>
          </w:p>
          <w:p w14:paraId="295026FD" w14:textId="7E661979" w:rsidR="00466541" w:rsidRPr="00967A10" w:rsidRDefault="0066426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967A10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13:00-14:00 BST</w:t>
            </w:r>
          </w:p>
          <w:p w14:paraId="5C5B71C9" w14:textId="77777777" w:rsidR="00A5499F" w:rsidRPr="00967A10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67A10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7AC4E437" w14:textId="77777777" w:rsidR="00466541" w:rsidRPr="00967A10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7CE8ECC" w:rsidR="00466541" w:rsidRPr="00967A10" w:rsidRDefault="004C7675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3A3BCE" w:rsidRPr="00967A10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</w:tr>
    </w:tbl>
    <w:p w14:paraId="79FE4C74" w14:textId="37EA2214" w:rsidR="00E94FD2" w:rsidRPr="00967A10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967A10" w:rsidRDefault="00E94FD2">
      <w:pPr>
        <w:pStyle w:val="BodyText"/>
        <w:rPr>
          <w:b/>
          <w:sz w:val="20"/>
        </w:rPr>
      </w:pPr>
    </w:p>
    <w:p w14:paraId="2FC6468D" w14:textId="7A15AF7F" w:rsidR="00E94FD2" w:rsidRPr="00967A10" w:rsidRDefault="006343FB">
      <w:pPr>
        <w:pStyle w:val="BodyText"/>
        <w:spacing w:before="10"/>
        <w:rPr>
          <w:b/>
          <w:sz w:val="20"/>
        </w:rPr>
      </w:pPr>
      <w:r w:rsidRPr="00967A10">
        <w:rPr>
          <w:b/>
          <w:bCs/>
          <w:lang w:val="it"/>
        </w:rPr>
        <w:tab/>
      </w:r>
    </w:p>
    <w:p w14:paraId="100C297B" w14:textId="0C1291DD" w:rsidR="006343FB" w:rsidRPr="00967A10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967A10">
        <w:rPr>
          <w:b/>
          <w:bCs/>
          <w:szCs w:val="32"/>
          <w:lang w:val="it"/>
        </w:rPr>
        <w:t xml:space="preserve">L’accesso alle sessioni di formazione dal vivo è limitato. Pertanto, è richiesta l’iscrizione anticipata. </w:t>
      </w:r>
    </w:p>
    <w:p w14:paraId="4DBCA599" w14:textId="6BA4A6E7" w:rsidR="00FF2F0A" w:rsidRPr="00967A10" w:rsidRDefault="00652FF1">
      <w:pPr>
        <w:pStyle w:val="BodyText"/>
        <w:rPr>
          <w:sz w:val="20"/>
        </w:rPr>
      </w:pPr>
      <w:r w:rsidRPr="00967A10">
        <w:rPr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978F5DC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val="it"/>
                              </w:rPr>
                              <w:t xml:space="preserve">La formazione del prossimo mese sarà incentrata sulla comprensione della neurodiversità tra amici e familiari. Tieni d'occhio i collegamenti all’iscrizione per partecipare a una sessione dal vivo oppure usa l’opzione su richiesta per accedere alle registrazioni quando preferisci.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7978F5DC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002677"/>
                          <w:lang w:val="it"/>
                        </w:rPr>
                        <w:t xml:space="preserve">La formazione del prossimo mese sarà incentrata sulla comprensione della neurodiversità tra amici e familiari. Tieni d'occhio i collegamenti all’iscrizione per partecipare a una sessione dal vivo oppure usa l’opzione su richiesta per accedere alle registrazioni quando preferisci.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967A10" w:rsidRDefault="006343FB">
      <w:pPr>
        <w:pStyle w:val="BodyText"/>
        <w:rPr>
          <w:sz w:val="20"/>
        </w:rPr>
      </w:pPr>
      <w:r w:rsidRPr="00967A10">
        <w:rPr>
          <w:lang w:val="it"/>
        </w:rPr>
        <w:tab/>
      </w:r>
    </w:p>
    <w:p w14:paraId="088826F0" w14:textId="002F987E" w:rsidR="00466541" w:rsidRPr="00967A10" w:rsidRDefault="00466541">
      <w:pPr>
        <w:pStyle w:val="BodyText"/>
        <w:rPr>
          <w:sz w:val="20"/>
        </w:rPr>
      </w:pPr>
    </w:p>
    <w:p w14:paraId="4D12F599" w14:textId="2F6AACE5" w:rsidR="00FF2F0A" w:rsidRPr="00967A10" w:rsidRDefault="00FF2F0A">
      <w:pPr>
        <w:pStyle w:val="BodyText"/>
        <w:rPr>
          <w:sz w:val="20"/>
        </w:rPr>
      </w:pPr>
    </w:p>
    <w:p w14:paraId="292A6C6A" w14:textId="36D7DA5B" w:rsidR="00E94FD2" w:rsidRPr="00967A10" w:rsidRDefault="00E94FD2">
      <w:pPr>
        <w:pStyle w:val="BodyText"/>
        <w:rPr>
          <w:sz w:val="20"/>
        </w:rPr>
      </w:pPr>
    </w:p>
    <w:p w14:paraId="5B8DDEA5" w14:textId="58F3CEC3" w:rsidR="00E94FD2" w:rsidRPr="00967A10" w:rsidRDefault="00E94FD2">
      <w:pPr>
        <w:pStyle w:val="BodyText"/>
        <w:rPr>
          <w:sz w:val="20"/>
        </w:rPr>
      </w:pPr>
    </w:p>
    <w:p w14:paraId="6CA34C5C" w14:textId="574AD4AA" w:rsidR="00E94FD2" w:rsidRPr="00967A10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Pr="00967A10" w:rsidRDefault="00E94FD2">
      <w:pPr>
        <w:pStyle w:val="BodyText"/>
        <w:rPr>
          <w:sz w:val="20"/>
        </w:rPr>
      </w:pPr>
    </w:p>
    <w:p w14:paraId="7186D599" w14:textId="53A805CF" w:rsidR="00E94FD2" w:rsidRPr="00967A10" w:rsidRDefault="00E94FD2">
      <w:pPr>
        <w:pStyle w:val="BodyText"/>
        <w:rPr>
          <w:sz w:val="22"/>
        </w:rPr>
      </w:pPr>
    </w:p>
    <w:p w14:paraId="5CBD4DF5" w14:textId="77777777" w:rsidR="00E94FD2" w:rsidRPr="00967A10" w:rsidRDefault="008E3095">
      <w:pPr>
        <w:spacing w:before="94"/>
        <w:ind w:left="913" w:right="879"/>
        <w:jc w:val="center"/>
        <w:rPr>
          <w:b/>
          <w:sz w:val="24"/>
        </w:rPr>
      </w:pPr>
      <w:r w:rsidRPr="00967A10">
        <w:rPr>
          <w:b/>
          <w:bCs/>
          <w:color w:val="FFFFFF"/>
          <w:sz w:val="24"/>
          <w:lang w:val="it"/>
        </w:rPr>
        <w:t>Per iniziare</w:t>
      </w:r>
    </w:p>
    <w:p w14:paraId="6564A81D" w14:textId="77777777" w:rsidR="00E94FD2" w:rsidRPr="00967A10" w:rsidRDefault="00E94FD2">
      <w:pPr>
        <w:pStyle w:val="BodyText"/>
        <w:rPr>
          <w:b/>
          <w:sz w:val="20"/>
        </w:rPr>
      </w:pPr>
    </w:p>
    <w:p w14:paraId="619240E4" w14:textId="77777777" w:rsidR="00E94FD2" w:rsidRPr="00967A10" w:rsidRDefault="00E94FD2">
      <w:pPr>
        <w:pStyle w:val="BodyText"/>
        <w:rPr>
          <w:b/>
          <w:sz w:val="20"/>
        </w:rPr>
      </w:pPr>
    </w:p>
    <w:p w14:paraId="42D05B4C" w14:textId="77777777" w:rsidR="00E94FD2" w:rsidRPr="00967A10" w:rsidRDefault="00E94FD2">
      <w:pPr>
        <w:pStyle w:val="BodyText"/>
        <w:rPr>
          <w:b/>
          <w:sz w:val="20"/>
        </w:rPr>
      </w:pPr>
    </w:p>
    <w:p w14:paraId="4E4B3EBC" w14:textId="77777777" w:rsidR="00E94FD2" w:rsidRPr="00967A10" w:rsidRDefault="00E94FD2">
      <w:pPr>
        <w:pStyle w:val="BodyText"/>
        <w:rPr>
          <w:b/>
          <w:sz w:val="20"/>
        </w:rPr>
      </w:pPr>
    </w:p>
    <w:p w14:paraId="0FEF643B" w14:textId="44036A1A" w:rsidR="009E14D1" w:rsidRPr="00967A10" w:rsidRDefault="009E14D1" w:rsidP="009E14D1">
      <w:pPr>
        <w:spacing w:line="276" w:lineRule="auto"/>
        <w:rPr>
          <w:sz w:val="16"/>
          <w:szCs w:val="16"/>
        </w:rPr>
      </w:pPr>
      <w:r w:rsidRPr="00967A10">
        <w:rPr>
          <w:sz w:val="16"/>
          <w:szCs w:val="16"/>
          <w:lang w:val="it"/>
        </w:rPr>
        <w:t>Questo programma non deve essere utilizzato per cure urgenti o di emergenza. In caso di emergenza chiama il 911 se ti trovi negli Stati Uniti, contatta il numero</w:t>
      </w:r>
      <w:r w:rsidR="00967A10">
        <w:rPr>
          <w:sz w:val="16"/>
          <w:szCs w:val="16"/>
          <w:lang w:val="it"/>
        </w:rPr>
        <w:t xml:space="preserve"> </w:t>
      </w:r>
      <w:r w:rsidRPr="00967A10">
        <w:rPr>
          <w:sz w:val="16"/>
          <w:szCs w:val="16"/>
          <w:lang w:val="it"/>
        </w:rPr>
        <w:t>dei servizi di emergenza locali se ti trovi al di fuori degli Stati Uniti oppure recati al pronto soccorso più vicino. Questo programma non sostituisce le cure di un medico o di un professionista. Dato il potenziale conflitto di interessi, non verrà fornita la consulenza legale su questioni che potrebbero comportare un’azione legale contro Optum o i suoi</w:t>
      </w:r>
      <w:r w:rsidR="00967A10">
        <w:rPr>
          <w:sz w:val="16"/>
          <w:szCs w:val="16"/>
          <w:lang w:val="it"/>
        </w:rPr>
        <w:t xml:space="preserve"> </w:t>
      </w:r>
      <w:r w:rsidRPr="00967A10">
        <w:rPr>
          <w:sz w:val="16"/>
          <w:szCs w:val="16"/>
          <w:lang w:val="it"/>
        </w:rPr>
        <w:t>affiliati, o qualsiasi entità attraverso la quale il chiamante riceve direttamente o indirettamente questi servizi (es. datore di lavoro o piano sanitario). Questo programma e tutti i suoi</w:t>
      </w:r>
      <w:r w:rsidR="00967A10">
        <w:rPr>
          <w:sz w:val="16"/>
          <w:szCs w:val="16"/>
          <w:lang w:val="it"/>
        </w:rPr>
        <w:t xml:space="preserve"> </w:t>
      </w:r>
      <w:r w:rsidRPr="00967A10">
        <w:rPr>
          <w:sz w:val="16"/>
          <w:szCs w:val="16"/>
          <w:lang w:val="it"/>
        </w:rPr>
        <w:t>componenti, in particolare i servizi per familiari di età inferiore ai 16 anni, potrebbero non essere disponibili in determinate località ed essere soggetti a modifiche senza</w:t>
      </w:r>
      <w:r w:rsidR="00967A10">
        <w:rPr>
          <w:sz w:val="16"/>
          <w:szCs w:val="16"/>
          <w:lang w:val="it"/>
        </w:rPr>
        <w:t xml:space="preserve"> </w:t>
      </w:r>
      <w:r w:rsidRPr="00967A10">
        <w:rPr>
          <w:sz w:val="16"/>
          <w:szCs w:val="16"/>
          <w:lang w:val="it"/>
        </w:rPr>
        <w:t>preavviso. L'esperienza e/o il livello di istruzione delle risorse del Programma di assistenza ai dipendenti possono variare in base ai requisiti contrattuali o</w:t>
      </w:r>
      <w:r w:rsidR="00967A10">
        <w:rPr>
          <w:sz w:val="16"/>
          <w:szCs w:val="16"/>
          <w:lang w:val="it"/>
        </w:rPr>
        <w:t xml:space="preserve"> </w:t>
      </w:r>
      <w:r w:rsidRPr="00967A10">
        <w:rPr>
          <w:sz w:val="16"/>
          <w:szCs w:val="16"/>
          <w:lang w:val="it"/>
        </w:rPr>
        <w:t>normativi del Paese. La copertura potrebbe essere soggetta a esclusioni e limitazioni.</w:t>
      </w:r>
    </w:p>
    <w:p w14:paraId="589813F1" w14:textId="77777777" w:rsidR="009E14D1" w:rsidRPr="00967A10" w:rsidRDefault="009E14D1" w:rsidP="009E14D1">
      <w:pPr>
        <w:spacing w:line="276" w:lineRule="auto"/>
        <w:rPr>
          <w:sz w:val="16"/>
          <w:szCs w:val="16"/>
        </w:rPr>
      </w:pPr>
    </w:p>
    <w:p w14:paraId="2A76090F" w14:textId="520A325F" w:rsidR="00E94FD2" w:rsidRPr="00967A10" w:rsidRDefault="009E14D1" w:rsidP="009E14D1">
      <w:pPr>
        <w:spacing w:line="276" w:lineRule="auto"/>
        <w:rPr>
          <w:sz w:val="16"/>
          <w:szCs w:val="16"/>
        </w:rPr>
      </w:pPr>
      <w:r w:rsidRPr="00967A10">
        <w:rPr>
          <w:sz w:val="16"/>
          <w:szCs w:val="16"/>
          <w:lang w:val="it"/>
        </w:rPr>
        <w:t>© 2023 Optum, Inc. Tutti i diritti riservati. Optum è un marchio registrato di Optum, Inc. negli Stati Uniti e in altre giurisdizioni. Tutti gli altri nomi di marchi o prodotti</w:t>
      </w:r>
      <w:r w:rsidR="00967A10">
        <w:rPr>
          <w:sz w:val="16"/>
          <w:szCs w:val="16"/>
          <w:lang w:val="it"/>
        </w:rPr>
        <w:t xml:space="preserve"> </w:t>
      </w:r>
      <w:r w:rsidRPr="00967A10">
        <w:rPr>
          <w:sz w:val="16"/>
          <w:szCs w:val="16"/>
          <w:lang w:val="it"/>
        </w:rPr>
        <w:t>sono marchi commerciali o marchi registrati di proprietà dei rispettivi proprietari. Optum è un datore di lavoro che offre pari opportunità di impiego.</w:t>
      </w:r>
    </w:p>
    <w:sectPr w:rsidR="00E94FD2" w:rsidRPr="00967A10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1192646827">
    <w:abstractNumId w:val="3"/>
  </w:num>
  <w:num w:numId="2" w16cid:durableId="2019428063">
    <w:abstractNumId w:val="2"/>
  </w:num>
  <w:num w:numId="3" w16cid:durableId="1618566408">
    <w:abstractNumId w:val="4"/>
  </w:num>
  <w:num w:numId="4" w16cid:durableId="1931885831">
    <w:abstractNumId w:val="0"/>
  </w:num>
  <w:num w:numId="5" w16cid:durableId="2035110227">
    <w:abstractNumId w:val="7"/>
  </w:num>
  <w:num w:numId="6" w16cid:durableId="2091534170">
    <w:abstractNumId w:val="6"/>
  </w:num>
  <w:num w:numId="7" w16cid:durableId="1860316453">
    <w:abstractNumId w:val="5"/>
  </w:num>
  <w:num w:numId="8" w16cid:durableId="204022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857C0"/>
    <w:rsid w:val="003A0608"/>
    <w:rsid w:val="003A3BCE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C7675"/>
    <w:rsid w:val="004D453F"/>
    <w:rsid w:val="004F3E6D"/>
    <w:rsid w:val="00527E9F"/>
    <w:rsid w:val="005865F3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7030"/>
    <w:rsid w:val="008779F0"/>
    <w:rsid w:val="008D2A5D"/>
    <w:rsid w:val="008D5563"/>
    <w:rsid w:val="008E3095"/>
    <w:rsid w:val="00910037"/>
    <w:rsid w:val="00967A10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47568"/>
    <w:rsid w:val="00B66B85"/>
    <w:rsid w:val="00BA57F9"/>
    <w:rsid w:val="00BB0C65"/>
    <w:rsid w:val="00BD2802"/>
    <w:rsid w:val="00BE0296"/>
    <w:rsid w:val="00C03BD1"/>
    <w:rsid w:val="00CE3C03"/>
    <w:rsid w:val="00CE6430"/>
    <w:rsid w:val="00D72FA1"/>
    <w:rsid w:val="00E05563"/>
    <w:rsid w:val="00E4588F"/>
    <w:rsid w:val="00E56132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0UgQA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A0UbQA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recordingservice/sites/optum/recording/9f15653bd221103bbff9005056811eca/playbac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0UlQ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06907c85-2b72-4989-9fc8-ad4194aa0976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7067365-7dbb-48f6-93ee-33718d04a0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Bischoff, Kaitlin R</cp:lastModifiedBy>
  <cp:revision>2</cp:revision>
  <dcterms:created xsi:type="dcterms:W3CDTF">2023-06-02T14:42:00Z</dcterms:created>
  <dcterms:modified xsi:type="dcterms:W3CDTF">2023-06-06T20:20:00Z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