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445D76" w:rsidRDefault="00660257" w:rsidP="00993D95">
      <w:pPr>
        <w:spacing w:after="0" w:line="240" w:lineRule="auto"/>
        <w:rPr>
          <w:rFonts w:ascii="DFHeiHK-W9" w:eastAsia="DFHeiHK-W9" w:hAnsi="DFHeiHK-W9" w:cs="Arial"/>
          <w:bCs/>
          <w:color w:val="002677"/>
          <w:sz w:val="56"/>
          <w:szCs w:val="56"/>
        </w:rPr>
      </w:pPr>
      <w:r w:rsidRPr="00445D76">
        <w:rPr>
          <w:rFonts w:ascii="DFHeiHK-W9" w:eastAsia="DFHeiHK-W9" w:hAnsi="DFHeiHK-W9" w:cs="Arial"/>
          <w:bCs/>
          <w:color w:val="002677"/>
          <w:sz w:val="56"/>
        </w:rPr>
        <w:t>年輕人的精神健康</w:t>
      </w:r>
    </w:p>
    <w:p w14:paraId="580C0656" w14:textId="77777777" w:rsidR="00660257" w:rsidRPr="00445D76" w:rsidRDefault="00660257" w:rsidP="00660257">
      <w:pPr>
        <w:spacing w:before="240" w:after="240" w:line="276" w:lineRule="auto"/>
        <w:ind w:right="1166"/>
        <w:rPr>
          <w:rFonts w:ascii="Arial" w:eastAsia="DFHeiHK-W5" w:hAnsi="Arial" w:cs="Arial"/>
          <w:color w:val="002677"/>
          <w:sz w:val="28"/>
          <w:szCs w:val="28"/>
        </w:rPr>
      </w:pPr>
      <w:r w:rsidRPr="00445D76">
        <w:rPr>
          <w:rFonts w:ascii="Arial" w:eastAsia="DFHeiHK-W5" w:hAnsi="Arial" w:cs="Arial"/>
          <w:color w:val="002677"/>
          <w:sz w:val="28"/>
        </w:rPr>
        <w:t>估計精神疾病影響全球</w:t>
      </w:r>
      <w:r w:rsidRPr="00445D76">
        <w:rPr>
          <w:rFonts w:ascii="Arial" w:eastAsia="DFHeiHK-W5" w:hAnsi="Arial" w:cs="Arial"/>
          <w:color w:val="002677"/>
          <w:sz w:val="28"/>
        </w:rPr>
        <w:t xml:space="preserve"> 14% </w:t>
      </w:r>
      <w:r w:rsidRPr="00445D76">
        <w:rPr>
          <w:rFonts w:ascii="Arial" w:eastAsia="DFHeiHK-W5" w:hAnsi="Arial" w:cs="Arial"/>
          <w:color w:val="002677"/>
          <w:sz w:val="28"/>
        </w:rPr>
        <w:t>青少年</w:t>
      </w:r>
      <w:r w:rsidRPr="00445D76">
        <w:rPr>
          <w:rFonts w:ascii="Arial" w:eastAsia="DFHeiHK-W5" w:hAnsi="Arial" w:cs="Arial"/>
          <w:color w:val="002677"/>
          <w:sz w:val="28"/>
        </w:rPr>
        <w:t>*</w:t>
      </w:r>
      <w:r w:rsidRPr="00445D76">
        <w:rPr>
          <w:rFonts w:ascii="Arial" w:eastAsia="DFHeiHK-W5" w:hAnsi="Arial" w:cs="Arial"/>
          <w:color w:val="002677"/>
          <w:sz w:val="28"/>
        </w:rPr>
        <w:t>。在各種病況中，飲食失調是致命機率最高的一種。本月份，讓我們深入學習如何知道您照顧的孩子是否正受到飲食失調所苦，及如何幫助他們。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445D76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445D76" w:rsidRDefault="00527171" w:rsidP="005D56F2">
            <w:pPr>
              <w:spacing w:before="240"/>
              <w:ind w:left="156" w:right="159"/>
              <w:rPr>
                <w:rFonts w:ascii="DFHeiHK-W9" w:eastAsia="DFHeiHK-W9" w:hAnsi="DFHeiHK-W9" w:cs="Arial"/>
                <w:bCs/>
                <w:color w:val="002677"/>
                <w:sz w:val="28"/>
                <w:szCs w:val="28"/>
              </w:rPr>
            </w:pPr>
            <w:r w:rsidRPr="00445D76">
              <w:rPr>
                <w:rFonts w:ascii="DFHeiHK-W9" w:eastAsia="DFHeiHK-W9" w:hAnsi="DFHeiHK-W9" w:cs="Arial"/>
                <w:bCs/>
                <w:color w:val="002677"/>
                <w:sz w:val="28"/>
              </w:rPr>
              <w:t>本月份的參與工具組合中包括了：</w:t>
            </w:r>
          </w:p>
          <w:p w14:paraId="25595285" w14:textId="77777777" w:rsidR="00660257" w:rsidRPr="00445D76" w:rsidRDefault="00660257" w:rsidP="00660257">
            <w:pPr>
              <w:spacing w:before="240"/>
              <w:ind w:left="156" w:right="159"/>
              <w:rPr>
                <w:rFonts w:ascii="Arial" w:eastAsia="DFHeiHK-W5" w:hAnsi="Arial" w:cs="Arial"/>
                <w:color w:val="5A5A5A"/>
                <w:sz w:val="24"/>
                <w:szCs w:val="24"/>
              </w:rPr>
            </w:pPr>
            <w:r w:rsidRPr="00445D76">
              <w:rPr>
                <w:rFonts w:ascii="DFHeiHK-W9" w:eastAsia="DFHeiHK-W9" w:hAnsi="DFHeiHK-W9" w:cs="Arial"/>
                <w:bCs/>
                <w:color w:val="5A5A5A"/>
                <w:sz w:val="24"/>
              </w:rPr>
              <w:t>飲食失調篩檢工具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 xml:space="preserve"> - 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>幫助您識別飲食失調的徵兆和是否建議接受醫療評估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 xml:space="preserve"> </w:t>
            </w:r>
          </w:p>
          <w:p w14:paraId="6EBF6F63" w14:textId="77777777" w:rsidR="00660257" w:rsidRPr="00445D76" w:rsidRDefault="00660257" w:rsidP="00660257">
            <w:pPr>
              <w:spacing w:before="240"/>
              <w:ind w:left="156" w:right="159"/>
              <w:rPr>
                <w:rFonts w:ascii="Arial" w:eastAsia="DFHeiHK-W5" w:hAnsi="Arial" w:cs="Arial"/>
                <w:color w:val="5A5A5A"/>
                <w:sz w:val="24"/>
                <w:szCs w:val="24"/>
              </w:rPr>
            </w:pPr>
            <w:r w:rsidRPr="00445D76">
              <w:rPr>
                <w:rFonts w:ascii="DFHeiHK-W9" w:eastAsia="DFHeiHK-W9" w:hAnsi="DFHeiHK-W9" w:cs="Arial"/>
                <w:bCs/>
                <w:color w:val="5A5A5A"/>
                <w:sz w:val="24"/>
              </w:rPr>
              <w:t>訓練</w:t>
            </w:r>
            <w:r w:rsidRPr="00445D76">
              <w:rPr>
                <w:rFonts w:ascii="Arial" w:eastAsia="DFHeiHK-W5" w:hAnsi="Arial" w:cs="Arial"/>
                <w:bCs/>
                <w:color w:val="5A5A5A"/>
                <w:sz w:val="24"/>
              </w:rPr>
              <w:t xml:space="preserve"> - 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>在不斷變化的世界中如何教養子女，及如何協助子女成長茁壯</w:t>
            </w:r>
          </w:p>
          <w:p w14:paraId="7C3C2D43" w14:textId="33DB392A" w:rsidR="00527171" w:rsidRPr="00445D76" w:rsidRDefault="00527171" w:rsidP="005D56F2">
            <w:pPr>
              <w:spacing w:before="240"/>
              <w:ind w:left="156" w:right="159"/>
              <w:rPr>
                <w:rFonts w:ascii="Arial" w:eastAsia="DFHeiHK-W5" w:hAnsi="Arial" w:cs="Arial"/>
                <w:b/>
                <w:bCs/>
                <w:color w:val="5A5A5A"/>
                <w:sz w:val="24"/>
                <w:szCs w:val="24"/>
              </w:rPr>
            </w:pPr>
            <w:r w:rsidRPr="00445D76">
              <w:rPr>
                <w:rFonts w:ascii="DFHeiHK-W9" w:eastAsia="DFHeiHK-W9" w:hAnsi="DFHeiHK-W9" w:cs="Arial"/>
                <w:bCs/>
                <w:color w:val="5A5A5A"/>
                <w:sz w:val="24"/>
              </w:rPr>
              <w:t>文章</w:t>
            </w:r>
            <w:r w:rsidRPr="00445D76">
              <w:rPr>
                <w:rFonts w:ascii="Arial" w:eastAsia="DFHeiHK-W5" w:hAnsi="Arial" w:cs="Arial"/>
                <w:bCs/>
                <w:color w:val="5A5A5A"/>
                <w:sz w:val="24"/>
              </w:rPr>
              <w:t xml:space="preserve"> - 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>關於飲食失調，以及父母如何與子女談論精神健康的祕訣</w:t>
            </w:r>
          </w:p>
        </w:tc>
      </w:tr>
    </w:tbl>
    <w:p w14:paraId="7CADEC72" w14:textId="77777777" w:rsidR="00F915FD" w:rsidRPr="00445D76" w:rsidRDefault="00F915FD" w:rsidP="00F915FD">
      <w:pPr>
        <w:spacing w:after="0" w:line="276" w:lineRule="auto"/>
        <w:rPr>
          <w:rFonts w:ascii="Arial" w:eastAsia="DFHeiHK-W5" w:hAnsi="Arial" w:cs="Arial"/>
          <w:color w:val="5A5A5A"/>
          <w:sz w:val="20"/>
          <w:szCs w:val="20"/>
        </w:rPr>
      </w:pPr>
    </w:p>
    <w:p w14:paraId="06552487" w14:textId="7B14F1D2" w:rsidR="00F915FD" w:rsidRPr="00445D76" w:rsidRDefault="00000000" w:rsidP="00F915FD">
      <w:pPr>
        <w:spacing w:after="0" w:line="240" w:lineRule="auto"/>
        <w:rPr>
          <w:rFonts w:ascii="Arial" w:eastAsia="DFHeiHK-W5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445D76">
          <w:rPr>
            <w:rStyle w:val="Hyperlink"/>
            <w:rFonts w:ascii="Arial" w:eastAsia="DFHeiHK-W5" w:hAnsi="Arial" w:cs="Arial"/>
            <w:sz w:val="24"/>
          </w:rPr>
          <w:t>檢閱工具組合</w:t>
        </w:r>
      </w:hyperlink>
      <w:r w:rsidR="00A23E93" w:rsidRPr="00445D76">
        <w:rPr>
          <w:rFonts w:ascii="Arial" w:eastAsia="DFHeiHK-W5" w:hAnsi="Arial" w:cs="Arial"/>
          <w:color w:val="5A5A5A"/>
          <w:sz w:val="24"/>
          <w:u w:val="single"/>
        </w:rPr>
        <w:t xml:space="preserve"> </w:t>
      </w:r>
    </w:p>
    <w:p w14:paraId="41E1AB0E" w14:textId="77777777" w:rsidR="00F915FD" w:rsidRPr="00445D76" w:rsidRDefault="00F915FD" w:rsidP="00F915FD">
      <w:pPr>
        <w:spacing w:line="276" w:lineRule="auto"/>
        <w:rPr>
          <w:rFonts w:ascii="Arial" w:eastAsia="DFHeiHK-W5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445D76" w:rsidRDefault="00F915FD" w:rsidP="00F915FD">
      <w:pPr>
        <w:spacing w:line="276" w:lineRule="auto"/>
        <w:rPr>
          <w:rFonts w:ascii="DFHeiHK-W9" w:eastAsia="DFHeiHK-W9" w:hAnsi="DFHeiHK-W9" w:cs="Arial"/>
          <w:bCs/>
          <w:color w:val="002677"/>
          <w:sz w:val="28"/>
          <w:szCs w:val="28"/>
        </w:rPr>
      </w:pPr>
      <w:r w:rsidRPr="00445D76">
        <w:rPr>
          <w:rFonts w:ascii="DFHeiHK-W9" w:eastAsia="DFHeiHK-W9" w:hAnsi="DFHeiHK-W9" w:cs="Arial"/>
          <w:bCs/>
          <w:color w:val="002677"/>
          <w:sz w:val="28"/>
        </w:rPr>
        <w:t>各月份精彩內容：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45D76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445D76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DFHeiHK-W5" w:hAnsi="Arial" w:cs="Arial"/>
                <w:color w:val="000000" w:themeColor="text1"/>
                <w:sz w:val="20"/>
                <w:szCs w:val="20"/>
              </w:rPr>
            </w:pPr>
            <w:r w:rsidRPr="00445D76">
              <w:rPr>
                <w:rFonts w:ascii="Arial" w:eastAsia="DFHeiHK-W5" w:hAnsi="Arial" w:cs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445D76" w:rsidRDefault="00F915FD" w:rsidP="00F915FD">
            <w:pPr>
              <w:spacing w:line="276" w:lineRule="auto"/>
              <w:rPr>
                <w:rFonts w:ascii="Arial" w:eastAsia="DFHeiHK-W5" w:hAnsi="Arial" w:cs="Arial"/>
                <w:color w:val="5A5A5A"/>
                <w:sz w:val="24"/>
                <w:szCs w:val="24"/>
              </w:rPr>
            </w:pPr>
            <w:r w:rsidRPr="00445D76">
              <w:rPr>
                <w:rFonts w:ascii="DFHeiHK-W9" w:eastAsia="DFHeiHK-W9" w:hAnsi="DFHeiHK-W9" w:cs="Arial"/>
                <w:bCs/>
                <w:color w:val="5A5A5A"/>
                <w:sz w:val="24"/>
              </w:rPr>
              <w:t>最新主題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 xml:space="preserve"> – 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>瞭解聚焦於每月全新主題的最新內容</w:t>
            </w:r>
          </w:p>
        </w:tc>
      </w:tr>
      <w:tr w:rsidR="00EB6622" w:rsidRPr="00445D76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445D76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DFHeiHK-W5" w:hAnsi="Arial" w:cs="Arial"/>
                <w:color w:val="000000" w:themeColor="text1"/>
                <w:sz w:val="20"/>
                <w:szCs w:val="20"/>
              </w:rPr>
            </w:pPr>
            <w:r w:rsidRPr="00445D76">
              <w:rPr>
                <w:rFonts w:ascii="Arial" w:eastAsia="DFHeiHK-W5" w:hAnsi="Arial" w:cs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445D76" w:rsidRDefault="00F915FD" w:rsidP="00F915FD">
            <w:pPr>
              <w:spacing w:line="276" w:lineRule="auto"/>
              <w:rPr>
                <w:rFonts w:ascii="Arial" w:eastAsia="DFHeiHK-W5" w:hAnsi="Arial" w:cs="Arial"/>
                <w:color w:val="5A5A5A"/>
                <w:sz w:val="24"/>
                <w:szCs w:val="24"/>
              </w:rPr>
            </w:pPr>
            <w:r w:rsidRPr="00445D76">
              <w:rPr>
                <w:rFonts w:ascii="DFHeiHK-W9" w:eastAsia="DFHeiHK-W9" w:hAnsi="DFHeiHK-W9" w:cs="Arial"/>
                <w:bCs/>
                <w:color w:val="5A5A5A"/>
                <w:sz w:val="24"/>
              </w:rPr>
              <w:t>更多資源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 xml:space="preserve"> – 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>取得額外資源和自助工具</w:t>
            </w:r>
          </w:p>
        </w:tc>
      </w:tr>
      <w:tr w:rsidR="00EB6622" w:rsidRPr="00445D76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445D76" w:rsidRDefault="00CB2F0E" w:rsidP="00EB6622">
            <w:pPr>
              <w:spacing w:line="276" w:lineRule="auto"/>
              <w:jc w:val="center"/>
              <w:textAlignment w:val="center"/>
              <w:rPr>
                <w:rFonts w:ascii="Arial" w:eastAsia="DFHeiHK-W5" w:hAnsi="Arial" w:cs="Arial"/>
                <w:color w:val="000000" w:themeColor="text1"/>
                <w:sz w:val="20"/>
                <w:szCs w:val="20"/>
              </w:rPr>
            </w:pPr>
            <w:r w:rsidRPr="00445D76">
              <w:rPr>
                <w:rFonts w:ascii="Arial" w:eastAsia="DFHeiHK-W5" w:hAnsi="Arial" w:cs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445D76" w:rsidRDefault="00F915FD" w:rsidP="00EB6622">
            <w:pPr>
              <w:spacing w:line="276" w:lineRule="auto"/>
              <w:rPr>
                <w:rFonts w:ascii="Arial" w:eastAsia="DFHeiHK-W5" w:hAnsi="Arial" w:cs="Arial"/>
                <w:color w:val="5A5A5A"/>
                <w:sz w:val="24"/>
                <w:szCs w:val="24"/>
              </w:rPr>
            </w:pPr>
            <w:r w:rsidRPr="00445D76">
              <w:rPr>
                <w:rFonts w:ascii="DFHeiHK-W9" w:eastAsia="DFHeiHK-W9" w:hAnsi="DFHeiHK-W9" w:cs="Arial"/>
                <w:bCs/>
                <w:color w:val="5A5A5A"/>
                <w:sz w:val="24"/>
              </w:rPr>
              <w:t>內容資料庫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 xml:space="preserve"> – </w:t>
            </w:r>
            <w:r w:rsidRPr="00445D76">
              <w:rPr>
                <w:rFonts w:ascii="Arial" w:eastAsia="DFHeiHK-W5" w:hAnsi="Arial" w:cs="Arial"/>
                <w:color w:val="5A5A5A"/>
                <w:sz w:val="24"/>
              </w:rPr>
              <w:t>持續閱讀您喜愛的內容</w:t>
            </w:r>
          </w:p>
        </w:tc>
      </w:tr>
      <w:tr w:rsidR="00EB6622" w:rsidRPr="00445D76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445D76" w:rsidRDefault="00EB6622" w:rsidP="00EB6622">
            <w:pPr>
              <w:spacing w:line="276" w:lineRule="auto"/>
              <w:jc w:val="center"/>
              <w:textAlignment w:val="center"/>
              <w:rPr>
                <w:rFonts w:ascii="Arial" w:eastAsia="DFHeiHK-W5" w:hAnsi="Arial" w:cs="Arial"/>
                <w:color w:val="000000" w:themeColor="text1"/>
                <w:sz w:val="20"/>
                <w:szCs w:val="20"/>
              </w:rPr>
            </w:pPr>
            <w:r w:rsidRPr="00445D76">
              <w:rPr>
                <w:rFonts w:ascii="Arial" w:eastAsia="DFHeiHK-W5" w:hAnsi="Arial" w:cs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445D76" w:rsidRDefault="00F915FD" w:rsidP="00F915FD">
            <w:pPr>
              <w:spacing w:line="276" w:lineRule="auto"/>
              <w:rPr>
                <w:rFonts w:ascii="Arial" w:eastAsia="DFHeiHK-W5" w:hAnsi="Arial" w:cs="Arial"/>
                <w:color w:val="5A5A5A"/>
                <w:spacing w:val="-2"/>
                <w:sz w:val="24"/>
                <w:szCs w:val="24"/>
              </w:rPr>
            </w:pPr>
            <w:r w:rsidRPr="00445D76">
              <w:rPr>
                <w:rFonts w:ascii="DFHeiHK-W9" w:eastAsia="DFHeiHK-W9" w:hAnsi="DFHeiHK-W9" w:cs="Arial"/>
                <w:bCs/>
                <w:color w:val="5A5A5A"/>
                <w:spacing w:val="-2"/>
                <w:sz w:val="24"/>
              </w:rPr>
              <w:t>愛屋及烏的支持</w:t>
            </w:r>
            <w:r w:rsidRPr="00445D76">
              <w:rPr>
                <w:rFonts w:ascii="Arial" w:eastAsia="DFHeiHK-W5" w:hAnsi="Arial" w:cs="Arial"/>
                <w:color w:val="5A5A5A"/>
                <w:spacing w:val="-2"/>
                <w:sz w:val="24"/>
              </w:rPr>
              <w:t xml:space="preserve"> – </w:t>
            </w:r>
            <w:r w:rsidRPr="00445D76">
              <w:rPr>
                <w:rFonts w:ascii="Arial" w:eastAsia="DFHeiHK-W5" w:hAnsi="Arial" w:cs="Arial"/>
                <w:color w:val="5A5A5A"/>
                <w:spacing w:val="-2"/>
                <w:sz w:val="24"/>
              </w:rPr>
              <w:t>如果您覺得這些資訊對誰有幫助，可將工具組合與其分享</w:t>
            </w:r>
          </w:p>
        </w:tc>
      </w:tr>
    </w:tbl>
    <w:p w14:paraId="4AA972AF" w14:textId="77777777" w:rsidR="00660257" w:rsidRPr="00445D76" w:rsidRDefault="00660257" w:rsidP="00660257">
      <w:pPr>
        <w:pStyle w:val="CommentText"/>
        <w:rPr>
          <w:rFonts w:ascii="Arial" w:eastAsia="DFHeiHK-W5" w:hAnsi="Arial" w:cs="Arial"/>
          <w:color w:val="5A5A5A"/>
        </w:rPr>
      </w:pPr>
    </w:p>
    <w:p w14:paraId="2318AA26" w14:textId="61A175C5" w:rsidR="00660257" w:rsidRPr="00445D76" w:rsidRDefault="00660257" w:rsidP="00660257">
      <w:pPr>
        <w:pStyle w:val="CommentText"/>
        <w:rPr>
          <w:rFonts w:ascii="Calibri" w:eastAsia="DFHeiHK-W5" w:hAnsi="Calibri" w:cs="Calibri"/>
        </w:rPr>
      </w:pPr>
      <w:r w:rsidRPr="00445D76">
        <w:rPr>
          <w:rFonts w:ascii="Calibri" w:eastAsia="DFHeiHK-W5" w:hAnsi="Calibri" w:cs="Calibri"/>
          <w:color w:val="5A5A5A"/>
        </w:rPr>
        <w:t>*</w:t>
      </w:r>
      <w:r w:rsidRPr="00445D76">
        <w:rPr>
          <w:rFonts w:ascii="Calibri" w:eastAsia="DFHeiHK-W5" w:hAnsi="Calibri" w:cs="Calibri"/>
        </w:rPr>
        <w:t xml:space="preserve"> WHO, “Adolescent Mental Health.” </w:t>
      </w:r>
      <w:hyperlink r:id="rId12" w:history="1">
        <w:r w:rsidRPr="00445D76">
          <w:rPr>
            <w:rStyle w:val="Hyperlink"/>
            <w:rFonts w:ascii="Calibri" w:eastAsia="DFHeiHK-W5" w:hAnsi="Calibri" w:cs="Calibri"/>
            <w:color w:val="0000FF"/>
          </w:rPr>
          <w:t>https://www.who.int/news-room/fact-sheets/detail/adolescent-mental-health</w:t>
        </w:r>
      </w:hyperlink>
      <w:r w:rsidRPr="00445D76">
        <w:rPr>
          <w:rFonts w:ascii="Calibri" w:eastAsia="DFHeiHK-W5" w:hAnsi="Calibri" w:cs="Calibri"/>
          <w:color w:val="000000"/>
        </w:rPr>
        <w:t xml:space="preserve"> </w:t>
      </w:r>
      <w:r w:rsidRPr="00445D76">
        <w:rPr>
          <w:rFonts w:ascii="Calibri" w:eastAsia="DFHeiHK-W5" w:hAnsi="Calibri" w:cs="Calibri"/>
        </w:rPr>
        <w:t>Accessed Nov. 3, 2022</w:t>
      </w:r>
    </w:p>
    <w:p w14:paraId="6DDFF971" w14:textId="3751FD55" w:rsidR="00775D33" w:rsidRPr="00445D76" w:rsidRDefault="00775D33" w:rsidP="00EB6622">
      <w:pPr>
        <w:spacing w:after="0" w:line="276" w:lineRule="auto"/>
        <w:rPr>
          <w:rFonts w:ascii="Calibri" w:eastAsia="DFHeiHK-W5" w:hAnsi="Calibri" w:cs="Calibri"/>
          <w:color w:val="5A5A5A"/>
          <w:sz w:val="20"/>
          <w:szCs w:val="20"/>
        </w:rPr>
      </w:pPr>
    </w:p>
    <w:sectPr w:rsidR="00775D33" w:rsidRPr="00445D76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453F" w14:textId="77777777" w:rsidR="00C755F9" w:rsidRDefault="00C755F9" w:rsidP="00E32C7E">
      <w:pPr>
        <w:spacing w:after="0" w:line="240" w:lineRule="auto"/>
      </w:pPr>
      <w:r>
        <w:separator/>
      </w:r>
    </w:p>
  </w:endnote>
  <w:endnote w:type="continuationSeparator" w:id="0">
    <w:p w14:paraId="2B6B8C58" w14:textId="77777777" w:rsidR="00C755F9" w:rsidRDefault="00C755F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DFHeiHK-W9">
    <w:panose1 w:val="020B09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HK-W5">
    <w:panose1 w:val="020B05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eastAsia="PMingLiU" w:hAnsi="Arial" w:cs="Arial"/>
        <w:color w:val="5A5A5A"/>
        <w:sz w:val="20"/>
        <w:szCs w:val="20"/>
      </w:rPr>
    </w:pPr>
    <w:r>
      <w:rPr>
        <w:rFonts w:ascii="Arial" w:eastAsia="PMingLiU" w:hAnsi="Arial" w:hint="eastAsia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7A10" w14:textId="77777777" w:rsidR="00C755F9" w:rsidRDefault="00C755F9" w:rsidP="00E32C7E">
      <w:pPr>
        <w:spacing w:after="0" w:line="240" w:lineRule="auto"/>
      </w:pPr>
      <w:r>
        <w:separator/>
      </w:r>
    </w:p>
  </w:footnote>
  <w:footnote w:type="continuationSeparator" w:id="0">
    <w:p w14:paraId="1ADDF0FF" w14:textId="77777777" w:rsidR="00C755F9" w:rsidRDefault="00C755F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4800">
    <w:abstractNumId w:val="15"/>
  </w:num>
  <w:num w:numId="2" w16cid:durableId="290526875">
    <w:abstractNumId w:val="13"/>
  </w:num>
  <w:num w:numId="3" w16cid:durableId="61149978">
    <w:abstractNumId w:val="11"/>
  </w:num>
  <w:num w:numId="4" w16cid:durableId="875891190">
    <w:abstractNumId w:val="4"/>
  </w:num>
  <w:num w:numId="5" w16cid:durableId="250357049">
    <w:abstractNumId w:val="10"/>
  </w:num>
  <w:num w:numId="6" w16cid:durableId="1919897412">
    <w:abstractNumId w:val="12"/>
  </w:num>
  <w:num w:numId="7" w16cid:durableId="1053699456">
    <w:abstractNumId w:val="1"/>
  </w:num>
  <w:num w:numId="8" w16cid:durableId="1404833062">
    <w:abstractNumId w:val="16"/>
  </w:num>
  <w:num w:numId="9" w16cid:durableId="1922713971">
    <w:abstractNumId w:val="7"/>
  </w:num>
  <w:num w:numId="10" w16cid:durableId="1628973021">
    <w:abstractNumId w:val="6"/>
  </w:num>
  <w:num w:numId="11" w16cid:durableId="1987852900">
    <w:abstractNumId w:val="9"/>
  </w:num>
  <w:num w:numId="12" w16cid:durableId="25716822">
    <w:abstractNumId w:val="14"/>
  </w:num>
  <w:num w:numId="13" w16cid:durableId="217207120">
    <w:abstractNumId w:val="8"/>
  </w:num>
  <w:num w:numId="14" w16cid:durableId="1416053948">
    <w:abstractNumId w:val="5"/>
  </w:num>
  <w:num w:numId="15" w16cid:durableId="1688947584">
    <w:abstractNumId w:val="0"/>
  </w:num>
  <w:num w:numId="16" w16cid:durableId="1894539110">
    <w:abstractNumId w:val="2"/>
  </w:num>
  <w:num w:numId="17" w16cid:durableId="1754936566">
    <w:abstractNumId w:val="17"/>
  </w:num>
  <w:num w:numId="18" w16cid:durableId="206821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45D76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55F9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zh-TW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355</Characters>
  <Application>Microsoft Office Word</Application>
  <DocSecurity>0</DocSecurity>
  <Lines>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5</cp:revision>
  <dcterms:created xsi:type="dcterms:W3CDTF">2022-12-29T18:20:00Z</dcterms:created>
  <dcterms:modified xsi:type="dcterms:W3CDTF">2023-01-05T03:34:00Z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