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39CE0F33" w:rsidR="00F915FD" w:rsidRPr="00AE685B" w:rsidRDefault="00660257" w:rsidP="00993D95">
      <w:pPr>
        <w:spacing w:after="0" w:line="240" w:lineRule="auto"/>
        <w:rPr>
          <w:rFonts w:ascii="Arial" w:eastAsia="SimSun" w:hAnsi="Arial" w:cs="Arial"/>
          <w:b/>
          <w:bCs/>
          <w:color w:val="002677"/>
          <w:sz w:val="56"/>
          <w:szCs w:val="56"/>
        </w:rPr>
      </w:pPr>
      <w:r w:rsidRPr="00AE685B">
        <w:rPr>
          <w:rFonts w:ascii="Arial" w:eastAsia="SimSun" w:hAnsi="Arial" w:cs="Arial"/>
          <w:b/>
          <w:color w:val="002677"/>
          <w:sz w:val="56"/>
        </w:rPr>
        <w:t>青少年的精神健康</w:t>
      </w:r>
    </w:p>
    <w:p w14:paraId="580C0656" w14:textId="77777777" w:rsidR="00660257" w:rsidRPr="00AE685B" w:rsidRDefault="00660257" w:rsidP="00660257">
      <w:pPr>
        <w:spacing w:before="240" w:after="240" w:line="276" w:lineRule="auto"/>
        <w:ind w:right="1166"/>
        <w:rPr>
          <w:rFonts w:ascii="Arial" w:eastAsia="SimSun" w:hAnsi="Arial" w:cs="Arial"/>
          <w:color w:val="002677"/>
          <w:sz w:val="28"/>
          <w:szCs w:val="28"/>
        </w:rPr>
      </w:pPr>
      <w:r w:rsidRPr="00AE685B">
        <w:rPr>
          <w:rFonts w:ascii="Arial" w:eastAsia="SimSun" w:hAnsi="Arial" w:cs="Arial"/>
          <w:color w:val="002677"/>
          <w:sz w:val="28"/>
        </w:rPr>
        <w:t>精神疾病估计影响全球</w:t>
      </w:r>
      <w:r w:rsidRPr="00AE685B">
        <w:rPr>
          <w:rFonts w:ascii="Arial" w:eastAsia="SimSun" w:hAnsi="Arial" w:cs="Arial"/>
          <w:color w:val="002677"/>
          <w:sz w:val="28"/>
        </w:rPr>
        <w:t xml:space="preserve"> 14% </w:t>
      </w:r>
      <w:r w:rsidRPr="00AE685B">
        <w:rPr>
          <w:rFonts w:ascii="Arial" w:eastAsia="SimSun" w:hAnsi="Arial" w:cs="Arial"/>
          <w:color w:val="002677"/>
          <w:sz w:val="28"/>
        </w:rPr>
        <w:t>的青少年</w:t>
      </w:r>
      <w:r w:rsidRPr="00AE685B">
        <w:rPr>
          <w:rFonts w:ascii="Arial" w:eastAsia="SimSun" w:hAnsi="Arial" w:cs="Arial"/>
          <w:color w:val="002677"/>
          <w:sz w:val="28"/>
        </w:rPr>
        <w:t>*</w:t>
      </w:r>
      <w:r w:rsidRPr="00AE685B">
        <w:rPr>
          <w:rFonts w:ascii="Arial" w:eastAsia="SimSun" w:hAnsi="Arial" w:cs="Arial"/>
          <w:color w:val="002677"/>
          <w:sz w:val="28"/>
        </w:rPr>
        <w:t>。在所有这类病况中，饮食失调是致命机率最高的一种。这个月，我们会深入了解如何识别您照顾的孩子是否面临饮食失调方面的问题，以及如何提供帮助。</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527171" w:rsidRPr="00AE685B" w14:paraId="2BA16A4A" w14:textId="77777777" w:rsidTr="00AE685B">
        <w:trPr>
          <w:trHeight w:val="2583"/>
        </w:trPr>
        <w:tc>
          <w:tcPr>
            <w:tcW w:w="9450" w:type="dxa"/>
            <w:shd w:val="clear" w:color="auto" w:fill="D9F6FA"/>
          </w:tcPr>
          <w:p w14:paraId="17283567" w14:textId="77777777" w:rsidR="00527171" w:rsidRPr="00AE685B" w:rsidRDefault="00527171" w:rsidP="005D56F2">
            <w:pPr>
              <w:spacing w:before="240"/>
              <w:ind w:left="156" w:right="159"/>
              <w:rPr>
                <w:rFonts w:ascii="Arial" w:eastAsia="SimSun" w:hAnsi="Arial" w:cs="Arial"/>
                <w:b/>
                <w:bCs/>
                <w:color w:val="002677"/>
                <w:sz w:val="28"/>
                <w:szCs w:val="28"/>
              </w:rPr>
            </w:pPr>
            <w:r w:rsidRPr="00AE685B">
              <w:rPr>
                <w:rFonts w:ascii="Arial" w:eastAsia="SimSun" w:hAnsi="Arial" w:cs="Arial"/>
                <w:b/>
                <w:color w:val="002677"/>
                <w:sz w:val="28"/>
              </w:rPr>
              <w:t>本月的参与工具包中包括以下内容：</w:t>
            </w:r>
          </w:p>
          <w:p w14:paraId="25595285" w14:textId="77777777" w:rsidR="00660257" w:rsidRPr="00AE685B" w:rsidRDefault="00660257" w:rsidP="00660257">
            <w:pPr>
              <w:spacing w:before="240"/>
              <w:ind w:left="156" w:right="159"/>
              <w:rPr>
                <w:rFonts w:ascii="Arial" w:eastAsia="SimSun" w:hAnsi="Arial" w:cs="Arial"/>
                <w:color w:val="5A5A5A"/>
                <w:sz w:val="24"/>
                <w:szCs w:val="24"/>
              </w:rPr>
            </w:pPr>
            <w:r w:rsidRPr="00AE685B">
              <w:rPr>
                <w:rFonts w:ascii="Arial" w:eastAsia="SimSun" w:hAnsi="Arial" w:cs="Arial"/>
                <w:b/>
                <w:color w:val="5A5A5A"/>
                <w:sz w:val="24"/>
              </w:rPr>
              <w:t>饮食失调筛检工具：</w:t>
            </w:r>
            <w:r w:rsidRPr="00AE685B">
              <w:rPr>
                <w:rFonts w:ascii="Arial" w:eastAsia="SimSun" w:hAnsi="Arial" w:cs="Arial"/>
                <w:color w:val="5A5A5A"/>
                <w:sz w:val="24"/>
              </w:rPr>
              <w:t>帮助您识别饮食失调的征兆，了解是否建议接受医疗评估</w:t>
            </w:r>
            <w:r w:rsidRPr="00AE685B">
              <w:rPr>
                <w:rFonts w:ascii="Arial" w:eastAsia="SimSun" w:hAnsi="Arial" w:cs="Arial"/>
                <w:color w:val="5A5A5A"/>
                <w:sz w:val="24"/>
              </w:rPr>
              <w:t xml:space="preserve"> </w:t>
            </w:r>
          </w:p>
          <w:p w14:paraId="6EBF6F63" w14:textId="77777777" w:rsidR="00660257" w:rsidRPr="00AE685B" w:rsidRDefault="00660257" w:rsidP="00660257">
            <w:pPr>
              <w:spacing w:before="240"/>
              <w:ind w:left="156" w:right="159"/>
              <w:rPr>
                <w:rFonts w:ascii="Arial" w:eastAsia="SimSun" w:hAnsi="Arial" w:cs="Arial"/>
                <w:color w:val="5A5A5A"/>
                <w:sz w:val="24"/>
                <w:szCs w:val="24"/>
              </w:rPr>
            </w:pPr>
            <w:r w:rsidRPr="00AE685B">
              <w:rPr>
                <w:rFonts w:ascii="Arial" w:eastAsia="SimSun" w:hAnsi="Arial" w:cs="Arial"/>
                <w:b/>
                <w:color w:val="5A5A5A"/>
                <w:sz w:val="24"/>
              </w:rPr>
              <w:t>培训：</w:t>
            </w:r>
            <w:r w:rsidRPr="00AE685B">
              <w:rPr>
                <w:rFonts w:ascii="Arial" w:eastAsia="SimSun" w:hAnsi="Arial" w:cs="Arial"/>
                <w:color w:val="5A5A5A"/>
                <w:sz w:val="24"/>
              </w:rPr>
              <w:t>学习在不断变化的环境中教养子女之道，了解如何协助子女茁壮成长</w:t>
            </w:r>
          </w:p>
          <w:p w14:paraId="7C3C2D43" w14:textId="33DB392A" w:rsidR="00527171" w:rsidRPr="00AE685B" w:rsidRDefault="00527171" w:rsidP="005D56F2">
            <w:pPr>
              <w:spacing w:before="240"/>
              <w:ind w:left="156" w:right="159"/>
              <w:rPr>
                <w:rFonts w:ascii="Arial" w:eastAsia="SimSun" w:hAnsi="Arial" w:cs="Arial"/>
                <w:b/>
                <w:bCs/>
                <w:color w:val="5A5A5A"/>
                <w:sz w:val="24"/>
                <w:szCs w:val="24"/>
              </w:rPr>
            </w:pPr>
            <w:r w:rsidRPr="00AE685B">
              <w:rPr>
                <w:rFonts w:ascii="Arial" w:eastAsia="SimSun" w:hAnsi="Arial" w:cs="Arial"/>
                <w:b/>
                <w:color w:val="5A5A5A"/>
                <w:sz w:val="24"/>
              </w:rPr>
              <w:t>文章：</w:t>
            </w:r>
            <w:r w:rsidRPr="00AE685B">
              <w:rPr>
                <w:rFonts w:ascii="Arial" w:eastAsia="SimSun" w:hAnsi="Arial" w:cs="Arial"/>
                <w:color w:val="5A5A5A"/>
                <w:sz w:val="24"/>
              </w:rPr>
              <w:t>介绍饮食失调，提供建议，说明父母该如何与子女讨论精神健康</w:t>
            </w:r>
          </w:p>
        </w:tc>
      </w:tr>
    </w:tbl>
    <w:p w14:paraId="7CADEC72" w14:textId="77777777" w:rsidR="00F915FD" w:rsidRPr="00AE685B" w:rsidRDefault="00F915FD" w:rsidP="00F915FD">
      <w:pPr>
        <w:spacing w:after="0" w:line="276" w:lineRule="auto"/>
        <w:rPr>
          <w:rFonts w:ascii="Arial" w:eastAsia="SimSun" w:hAnsi="Arial" w:cs="Arial"/>
          <w:color w:val="5A5A5A"/>
          <w:sz w:val="20"/>
          <w:szCs w:val="20"/>
        </w:rPr>
      </w:pPr>
    </w:p>
    <w:p w14:paraId="06552487" w14:textId="51E14ADF" w:rsidR="00F915FD" w:rsidRPr="00AE685B" w:rsidRDefault="00000000" w:rsidP="00F915FD">
      <w:pPr>
        <w:spacing w:after="0" w:line="240" w:lineRule="auto"/>
        <w:rPr>
          <w:rFonts w:ascii="Arial" w:eastAsia="SimSun" w:hAnsi="Arial" w:cs="Arial"/>
          <w:color w:val="5A5A5A"/>
          <w:sz w:val="24"/>
          <w:szCs w:val="24"/>
          <w:u w:val="single"/>
        </w:rPr>
      </w:pPr>
      <w:hyperlink r:id="rId7" w:history="1">
        <w:r w:rsidR="00A23E93" w:rsidRPr="00AE685B">
          <w:rPr>
            <w:rStyle w:val="Hyperlink"/>
            <w:rFonts w:ascii="Arial" w:eastAsia="SimSun" w:hAnsi="Arial" w:cs="Arial"/>
            <w:sz w:val="24"/>
          </w:rPr>
          <w:t>查看工具包</w:t>
        </w:r>
      </w:hyperlink>
      <w:r w:rsidR="00A23E93" w:rsidRPr="00AE685B">
        <w:rPr>
          <w:rFonts w:ascii="Arial" w:eastAsia="SimSun" w:hAnsi="Arial" w:cs="Arial"/>
          <w:color w:val="5A5A5A"/>
          <w:sz w:val="24"/>
          <w:u w:val="single"/>
        </w:rPr>
        <w:t xml:space="preserve"> </w:t>
      </w:r>
    </w:p>
    <w:p w14:paraId="41E1AB0E" w14:textId="77777777" w:rsidR="00F915FD" w:rsidRPr="00AE685B" w:rsidRDefault="00F915FD" w:rsidP="00F915FD">
      <w:pPr>
        <w:spacing w:line="276" w:lineRule="auto"/>
        <w:rPr>
          <w:rFonts w:ascii="Arial" w:eastAsia="SimSun" w:hAnsi="Arial" w:cs="Arial"/>
          <w:b/>
          <w:bCs/>
          <w:color w:val="5A5A5A"/>
          <w:sz w:val="24"/>
          <w:szCs w:val="24"/>
        </w:rPr>
      </w:pPr>
    </w:p>
    <w:p w14:paraId="62D76D3A" w14:textId="53A6D261" w:rsidR="00F915FD" w:rsidRPr="00AE685B" w:rsidRDefault="00F915FD" w:rsidP="00F915FD">
      <w:pPr>
        <w:spacing w:line="276" w:lineRule="auto"/>
        <w:rPr>
          <w:rFonts w:ascii="Arial" w:eastAsia="SimSun" w:hAnsi="Arial" w:cs="Arial"/>
          <w:b/>
          <w:bCs/>
          <w:color w:val="002677"/>
          <w:sz w:val="28"/>
          <w:szCs w:val="28"/>
        </w:rPr>
      </w:pPr>
      <w:r w:rsidRPr="00AE685B">
        <w:rPr>
          <w:rFonts w:ascii="Arial" w:eastAsia="SimSun" w:hAnsi="Arial" w:cs="Arial"/>
          <w:b/>
          <w:color w:val="002677"/>
          <w:sz w:val="28"/>
        </w:rPr>
        <w:t>每个月的精彩内容：</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AE685B" w14:paraId="4DB7AB76" w14:textId="77777777" w:rsidTr="004E5F3B">
        <w:trPr>
          <w:trHeight w:val="1080"/>
        </w:trPr>
        <w:tc>
          <w:tcPr>
            <w:tcW w:w="1260" w:type="dxa"/>
            <w:vAlign w:val="center"/>
          </w:tcPr>
          <w:p w14:paraId="15E3E42A" w14:textId="2BBC75D6" w:rsidR="00775D33" w:rsidRPr="00AE685B" w:rsidRDefault="00CB2F0E" w:rsidP="00EB6622">
            <w:pPr>
              <w:spacing w:line="276" w:lineRule="auto"/>
              <w:jc w:val="center"/>
              <w:textAlignment w:val="center"/>
              <w:rPr>
                <w:rFonts w:ascii="Arial" w:eastAsia="SimSun" w:hAnsi="Arial" w:cs="Arial"/>
                <w:color w:val="000000" w:themeColor="text1"/>
                <w:sz w:val="20"/>
                <w:szCs w:val="20"/>
              </w:rPr>
            </w:pPr>
            <w:r w:rsidRPr="00AE685B">
              <w:rPr>
                <w:rFonts w:ascii="Arial" w:eastAsia="SimSun" w:hAnsi="Arial" w:cs="Arial"/>
                <w:noProof/>
                <w:color w:val="5A5A5A"/>
                <w:sz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0E4AEDDA" w:rsidR="00775D33" w:rsidRPr="00AE685B" w:rsidRDefault="00F915FD" w:rsidP="00F915FD">
            <w:pPr>
              <w:spacing w:line="276" w:lineRule="auto"/>
              <w:rPr>
                <w:rFonts w:ascii="Arial" w:eastAsia="SimSun" w:hAnsi="Arial" w:cs="Arial"/>
                <w:color w:val="5A5A5A"/>
                <w:sz w:val="24"/>
                <w:szCs w:val="24"/>
              </w:rPr>
            </w:pPr>
            <w:r w:rsidRPr="00AE685B">
              <w:rPr>
                <w:rFonts w:ascii="Arial" w:eastAsia="SimSun" w:hAnsi="Arial" w:cs="Arial"/>
                <w:b/>
                <w:color w:val="5A5A5A"/>
                <w:sz w:val="24"/>
              </w:rPr>
              <w:t>最新主题</w:t>
            </w:r>
            <w:r w:rsidRPr="00AE685B">
              <w:rPr>
                <w:rFonts w:ascii="Arial" w:eastAsia="SimSun" w:hAnsi="Arial" w:cs="Arial"/>
                <w:color w:val="5A5A5A"/>
                <w:sz w:val="24"/>
              </w:rPr>
              <w:t xml:space="preserve"> – </w:t>
            </w:r>
            <w:r w:rsidRPr="00AE685B">
              <w:rPr>
                <w:rFonts w:ascii="Arial" w:eastAsia="SimSun" w:hAnsi="Arial" w:cs="Arial"/>
                <w:color w:val="5A5A5A"/>
                <w:sz w:val="24"/>
              </w:rPr>
              <w:t>了解最新内容，关注每月全新主题</w:t>
            </w:r>
          </w:p>
        </w:tc>
      </w:tr>
      <w:tr w:rsidR="00EB6622" w:rsidRPr="00AE685B" w14:paraId="19474739" w14:textId="77777777" w:rsidTr="004E5F3B">
        <w:trPr>
          <w:trHeight w:val="1080"/>
        </w:trPr>
        <w:tc>
          <w:tcPr>
            <w:tcW w:w="1260" w:type="dxa"/>
            <w:vAlign w:val="center"/>
          </w:tcPr>
          <w:p w14:paraId="1A39A370" w14:textId="78B31644" w:rsidR="00775D33" w:rsidRPr="00AE685B" w:rsidRDefault="00CB2F0E" w:rsidP="00EB6622">
            <w:pPr>
              <w:spacing w:line="276" w:lineRule="auto"/>
              <w:jc w:val="center"/>
              <w:textAlignment w:val="center"/>
              <w:rPr>
                <w:rFonts w:ascii="Arial" w:eastAsia="SimSun" w:hAnsi="Arial" w:cs="Arial"/>
                <w:color w:val="000000" w:themeColor="text1"/>
                <w:sz w:val="20"/>
                <w:szCs w:val="20"/>
              </w:rPr>
            </w:pPr>
            <w:r w:rsidRPr="00AE685B">
              <w:rPr>
                <w:rFonts w:ascii="Arial" w:eastAsia="SimSun" w:hAnsi="Arial" w:cs="Arial"/>
                <w:noProof/>
                <w:color w:val="5A5A5A"/>
                <w:sz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6565F61F" w:rsidR="00775D33" w:rsidRPr="00AE685B" w:rsidRDefault="00F915FD" w:rsidP="00F915FD">
            <w:pPr>
              <w:spacing w:line="276" w:lineRule="auto"/>
              <w:rPr>
                <w:rFonts w:ascii="Arial" w:eastAsia="SimSun" w:hAnsi="Arial" w:cs="Arial"/>
                <w:color w:val="5A5A5A"/>
                <w:sz w:val="24"/>
                <w:szCs w:val="24"/>
              </w:rPr>
            </w:pPr>
            <w:r w:rsidRPr="00AE685B">
              <w:rPr>
                <w:rFonts w:ascii="Arial" w:eastAsia="SimSun" w:hAnsi="Arial" w:cs="Arial"/>
                <w:b/>
                <w:color w:val="5A5A5A"/>
                <w:sz w:val="24"/>
              </w:rPr>
              <w:t>更多资源</w:t>
            </w:r>
            <w:r w:rsidRPr="00AE685B">
              <w:rPr>
                <w:rFonts w:ascii="Arial" w:eastAsia="SimSun" w:hAnsi="Arial" w:cs="Arial"/>
                <w:color w:val="5A5A5A"/>
                <w:sz w:val="24"/>
              </w:rPr>
              <w:t xml:space="preserve"> – </w:t>
            </w:r>
            <w:r w:rsidRPr="00AE685B">
              <w:rPr>
                <w:rFonts w:ascii="Arial" w:eastAsia="SimSun" w:hAnsi="Arial" w:cs="Arial"/>
                <w:color w:val="5A5A5A"/>
                <w:sz w:val="24"/>
              </w:rPr>
              <w:t>获取额外资源和自助工具</w:t>
            </w:r>
          </w:p>
        </w:tc>
      </w:tr>
      <w:tr w:rsidR="00EB6622" w:rsidRPr="00AE685B" w14:paraId="4F263DE7" w14:textId="77777777" w:rsidTr="004E5F3B">
        <w:trPr>
          <w:trHeight w:val="1080"/>
        </w:trPr>
        <w:tc>
          <w:tcPr>
            <w:tcW w:w="1260" w:type="dxa"/>
            <w:vAlign w:val="center"/>
          </w:tcPr>
          <w:p w14:paraId="5E840E93" w14:textId="2EFD40CA" w:rsidR="00775D33" w:rsidRPr="00AE685B" w:rsidRDefault="00CB2F0E" w:rsidP="00EB6622">
            <w:pPr>
              <w:spacing w:line="276" w:lineRule="auto"/>
              <w:jc w:val="center"/>
              <w:textAlignment w:val="center"/>
              <w:rPr>
                <w:rFonts w:ascii="Arial" w:eastAsia="SimSun" w:hAnsi="Arial" w:cs="Arial"/>
                <w:color w:val="000000" w:themeColor="text1"/>
                <w:sz w:val="20"/>
                <w:szCs w:val="20"/>
              </w:rPr>
            </w:pPr>
            <w:r w:rsidRPr="00AE685B">
              <w:rPr>
                <w:rFonts w:ascii="Arial" w:eastAsia="SimSun" w:hAnsi="Arial" w:cs="Arial"/>
                <w:noProof/>
                <w:color w:val="5A5A5A"/>
                <w:sz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7955D390" w:rsidR="00775D33" w:rsidRPr="00AE685B" w:rsidRDefault="00F915FD" w:rsidP="00EB6622">
            <w:pPr>
              <w:spacing w:line="276" w:lineRule="auto"/>
              <w:rPr>
                <w:rFonts w:ascii="Arial" w:eastAsia="SimSun" w:hAnsi="Arial" w:cs="Arial"/>
                <w:color w:val="5A5A5A"/>
                <w:sz w:val="24"/>
                <w:szCs w:val="24"/>
              </w:rPr>
            </w:pPr>
            <w:r w:rsidRPr="00AE685B">
              <w:rPr>
                <w:rFonts w:ascii="Arial" w:eastAsia="SimSun" w:hAnsi="Arial" w:cs="Arial"/>
                <w:b/>
                <w:color w:val="5A5A5A"/>
                <w:sz w:val="24"/>
              </w:rPr>
              <w:t>内容资料库</w:t>
            </w:r>
            <w:r w:rsidRPr="00AE685B">
              <w:rPr>
                <w:rFonts w:ascii="Arial" w:eastAsia="SimSun" w:hAnsi="Arial" w:cs="Arial"/>
                <w:color w:val="5A5A5A"/>
                <w:sz w:val="24"/>
              </w:rPr>
              <w:t xml:space="preserve"> – </w:t>
            </w:r>
            <w:r w:rsidRPr="00AE685B">
              <w:rPr>
                <w:rFonts w:ascii="Arial" w:eastAsia="SimSun" w:hAnsi="Arial" w:cs="Arial"/>
                <w:color w:val="5A5A5A"/>
                <w:sz w:val="24"/>
              </w:rPr>
              <w:t>持续阅读您喜爱的内容</w:t>
            </w:r>
          </w:p>
        </w:tc>
      </w:tr>
      <w:tr w:rsidR="00EB6622" w:rsidRPr="00AE685B" w14:paraId="5E0BCAC7" w14:textId="77777777" w:rsidTr="004E5F3B">
        <w:trPr>
          <w:trHeight w:val="1080"/>
        </w:trPr>
        <w:tc>
          <w:tcPr>
            <w:tcW w:w="1260" w:type="dxa"/>
            <w:vAlign w:val="center"/>
          </w:tcPr>
          <w:p w14:paraId="0921B01F" w14:textId="697D6B7A" w:rsidR="00775D33" w:rsidRPr="00AE685B" w:rsidRDefault="00EB6622" w:rsidP="00EB6622">
            <w:pPr>
              <w:spacing w:line="276" w:lineRule="auto"/>
              <w:jc w:val="center"/>
              <w:textAlignment w:val="center"/>
              <w:rPr>
                <w:rFonts w:ascii="Arial" w:eastAsia="SimSun" w:hAnsi="Arial" w:cs="Arial"/>
                <w:color w:val="000000" w:themeColor="text1"/>
                <w:sz w:val="20"/>
                <w:szCs w:val="20"/>
              </w:rPr>
            </w:pPr>
            <w:r w:rsidRPr="00AE685B">
              <w:rPr>
                <w:rFonts w:ascii="Arial" w:eastAsia="SimSun" w:hAnsi="Arial" w:cs="Arial"/>
                <w:noProof/>
                <w:color w:val="000000" w:themeColor="text1"/>
                <w:sz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26B5F66A" w:rsidR="00775D33" w:rsidRPr="00AE685B" w:rsidRDefault="00F915FD" w:rsidP="00F915FD">
            <w:pPr>
              <w:spacing w:line="276" w:lineRule="auto"/>
              <w:rPr>
                <w:rFonts w:ascii="Arial" w:eastAsia="SimSun" w:hAnsi="Arial" w:cs="Arial"/>
                <w:color w:val="5A5A5A"/>
                <w:sz w:val="24"/>
                <w:szCs w:val="24"/>
              </w:rPr>
            </w:pPr>
            <w:r w:rsidRPr="00AE685B">
              <w:rPr>
                <w:rFonts w:ascii="Arial" w:eastAsia="SimSun" w:hAnsi="Arial" w:cs="Arial"/>
                <w:b/>
                <w:color w:val="5A5A5A"/>
                <w:sz w:val="24"/>
              </w:rPr>
              <w:t>为所有人提供的支持</w:t>
            </w:r>
            <w:r w:rsidRPr="00AE685B">
              <w:rPr>
                <w:rFonts w:ascii="Arial" w:eastAsia="SimSun" w:hAnsi="Arial" w:cs="Arial"/>
                <w:color w:val="5A5A5A"/>
                <w:sz w:val="24"/>
              </w:rPr>
              <w:t xml:space="preserve"> – </w:t>
            </w:r>
            <w:r w:rsidRPr="00AE685B">
              <w:rPr>
                <w:rFonts w:ascii="Arial" w:eastAsia="SimSun" w:hAnsi="Arial" w:cs="Arial"/>
                <w:color w:val="5A5A5A"/>
                <w:sz w:val="24"/>
              </w:rPr>
              <w:t>如果您认为相关信息对某些人有帮助，可将工具包与其分享</w:t>
            </w:r>
          </w:p>
        </w:tc>
      </w:tr>
    </w:tbl>
    <w:p w14:paraId="4AA972AF" w14:textId="77777777" w:rsidR="00660257" w:rsidRPr="00AE685B" w:rsidRDefault="00660257" w:rsidP="00660257">
      <w:pPr>
        <w:pStyle w:val="CommentText"/>
        <w:rPr>
          <w:rFonts w:ascii="Arial" w:hAnsi="Arial" w:cs="Arial"/>
          <w:color w:val="5A5A5A"/>
        </w:rPr>
      </w:pPr>
    </w:p>
    <w:p w14:paraId="2318AA26" w14:textId="61A175C5" w:rsidR="00660257" w:rsidRPr="00AE685B" w:rsidRDefault="00660257" w:rsidP="00660257">
      <w:pPr>
        <w:pStyle w:val="CommentText"/>
      </w:pPr>
      <w:r w:rsidRPr="00AE685B">
        <w:rPr>
          <w:rFonts w:ascii="Arial" w:eastAsia="SimSun" w:hAnsi="Arial" w:hint="eastAsia"/>
          <w:color w:val="5A5A5A"/>
        </w:rPr>
        <w:t>*</w:t>
      </w:r>
      <w:r w:rsidRPr="00AE685B">
        <w:rPr>
          <w:rFonts w:hint="eastAsia"/>
        </w:rPr>
        <w:t xml:space="preserve"> WHO, </w:t>
      </w:r>
      <w:r w:rsidRPr="00AE685B">
        <w:rPr>
          <w:rFonts w:hint="eastAsia"/>
        </w:rPr>
        <w:t>“</w:t>
      </w:r>
      <w:r w:rsidRPr="00AE685B">
        <w:rPr>
          <w:rFonts w:hint="eastAsia"/>
        </w:rPr>
        <w:t>Adolescent Mental Health.</w:t>
      </w:r>
      <w:r w:rsidRPr="00AE685B">
        <w:rPr>
          <w:rFonts w:hint="eastAsia"/>
        </w:rPr>
        <w:t>”</w:t>
      </w:r>
      <w:r w:rsidRPr="00AE685B">
        <w:rPr>
          <w:rFonts w:hint="eastAsia"/>
        </w:rPr>
        <w:t xml:space="preserve"> </w:t>
      </w:r>
      <w:hyperlink r:id="rId12" w:history="1">
        <w:r w:rsidRPr="00AE685B">
          <w:rPr>
            <w:rStyle w:val="Hyperlink"/>
            <w:rFonts w:hint="eastAsia"/>
            <w:color w:val="0000FF"/>
          </w:rPr>
          <w:t>https://www.who.int/news-room/fact-sheets/detail/adolescent-mental-health</w:t>
        </w:r>
      </w:hyperlink>
      <w:r w:rsidRPr="00AE685B">
        <w:rPr>
          <w:rFonts w:hint="eastAsia"/>
          <w:color w:val="000000"/>
        </w:rPr>
        <w:t xml:space="preserve"> </w:t>
      </w:r>
      <w:r w:rsidRPr="00AE685B">
        <w:rPr>
          <w:rFonts w:hint="eastAsia"/>
        </w:rPr>
        <w:t>Accessed Nov. 3, 2022</w:t>
      </w:r>
    </w:p>
    <w:p w14:paraId="6DDFF971" w14:textId="3751FD55" w:rsidR="00775D33" w:rsidRPr="00AE685B" w:rsidRDefault="00775D33" w:rsidP="00EB6622">
      <w:pPr>
        <w:spacing w:after="0" w:line="276" w:lineRule="auto"/>
        <w:rPr>
          <w:rFonts w:ascii="Arial" w:hAnsi="Arial" w:cs="Arial"/>
          <w:color w:val="5A5A5A"/>
          <w:sz w:val="20"/>
          <w:szCs w:val="20"/>
        </w:rPr>
      </w:pPr>
    </w:p>
    <w:sectPr w:rsidR="00775D33" w:rsidRPr="00AE685B" w:rsidSect="00F915FD">
      <w:footerReference w:type="default" r:id="rId13"/>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F662" w14:textId="77777777" w:rsidR="004D6439" w:rsidRDefault="004D6439" w:rsidP="00E32C7E">
      <w:pPr>
        <w:spacing w:after="0" w:line="240" w:lineRule="auto"/>
      </w:pPr>
      <w:r>
        <w:separator/>
      </w:r>
    </w:p>
  </w:endnote>
  <w:endnote w:type="continuationSeparator" w:id="0">
    <w:p w14:paraId="0C43D73C" w14:textId="77777777" w:rsidR="004D6439" w:rsidRDefault="004D643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altName w:val="Leelawadee UI"/>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eastAsia="SimSun" w:hAnsi="Arial" w:cs="Arial"/>
        <w:color w:val="5A5A5A"/>
        <w:sz w:val="20"/>
        <w:szCs w:val="20"/>
      </w:rPr>
    </w:pPr>
    <w:r>
      <w:rPr>
        <w:rFonts w:ascii="Arial" w:eastAsia="SimSun" w:hAnsi="Arial" w:hint="eastAsia"/>
        <w:noProof/>
        <w:color w:val="5A5A5A"/>
        <w:sz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F5D6" w14:textId="77777777" w:rsidR="004D6439" w:rsidRDefault="004D6439" w:rsidP="00E32C7E">
      <w:pPr>
        <w:spacing w:after="0" w:line="240" w:lineRule="auto"/>
      </w:pPr>
      <w:r>
        <w:separator/>
      </w:r>
    </w:p>
  </w:footnote>
  <w:footnote w:type="continuationSeparator" w:id="0">
    <w:p w14:paraId="73663DFE" w14:textId="77777777" w:rsidR="004D6439" w:rsidRDefault="004D6439"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003251">
    <w:abstractNumId w:val="15"/>
  </w:num>
  <w:num w:numId="2" w16cid:durableId="1197087165">
    <w:abstractNumId w:val="13"/>
  </w:num>
  <w:num w:numId="3" w16cid:durableId="2099132104">
    <w:abstractNumId w:val="11"/>
  </w:num>
  <w:num w:numId="4" w16cid:durableId="1950309840">
    <w:abstractNumId w:val="4"/>
  </w:num>
  <w:num w:numId="5" w16cid:durableId="366024755">
    <w:abstractNumId w:val="10"/>
  </w:num>
  <w:num w:numId="6" w16cid:durableId="714624482">
    <w:abstractNumId w:val="12"/>
  </w:num>
  <w:num w:numId="7" w16cid:durableId="1823084915">
    <w:abstractNumId w:val="1"/>
  </w:num>
  <w:num w:numId="8" w16cid:durableId="975570501">
    <w:abstractNumId w:val="16"/>
  </w:num>
  <w:num w:numId="9" w16cid:durableId="262881995">
    <w:abstractNumId w:val="7"/>
  </w:num>
  <w:num w:numId="10" w16cid:durableId="1145701249">
    <w:abstractNumId w:val="6"/>
  </w:num>
  <w:num w:numId="11" w16cid:durableId="1036351404">
    <w:abstractNumId w:val="9"/>
  </w:num>
  <w:num w:numId="12" w16cid:durableId="454719011">
    <w:abstractNumId w:val="14"/>
  </w:num>
  <w:num w:numId="13" w16cid:durableId="214321564">
    <w:abstractNumId w:val="8"/>
  </w:num>
  <w:num w:numId="14" w16cid:durableId="887956824">
    <w:abstractNumId w:val="5"/>
  </w:num>
  <w:num w:numId="15" w16cid:durableId="1033844364">
    <w:abstractNumId w:val="0"/>
  </w:num>
  <w:num w:numId="16" w16cid:durableId="1210459031">
    <w:abstractNumId w:val="2"/>
  </w:num>
  <w:num w:numId="17" w16cid:durableId="2016151362">
    <w:abstractNumId w:val="17"/>
  </w:num>
  <w:num w:numId="18" w16cid:durableId="488248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47609"/>
    <w:rsid w:val="00055271"/>
    <w:rsid w:val="000614BD"/>
    <w:rsid w:val="00067AED"/>
    <w:rsid w:val="000C40AE"/>
    <w:rsid w:val="000E03C9"/>
    <w:rsid w:val="000F4528"/>
    <w:rsid w:val="0011291F"/>
    <w:rsid w:val="00141220"/>
    <w:rsid w:val="0014404C"/>
    <w:rsid w:val="001728CE"/>
    <w:rsid w:val="0019662A"/>
    <w:rsid w:val="001A0A0E"/>
    <w:rsid w:val="001E2671"/>
    <w:rsid w:val="001F1E59"/>
    <w:rsid w:val="001F5D82"/>
    <w:rsid w:val="0020098A"/>
    <w:rsid w:val="00211172"/>
    <w:rsid w:val="00214EFA"/>
    <w:rsid w:val="002B1064"/>
    <w:rsid w:val="002E0A1E"/>
    <w:rsid w:val="002E1B2F"/>
    <w:rsid w:val="002F3B07"/>
    <w:rsid w:val="00326B62"/>
    <w:rsid w:val="00332D5A"/>
    <w:rsid w:val="00333442"/>
    <w:rsid w:val="003346B2"/>
    <w:rsid w:val="0035164C"/>
    <w:rsid w:val="003C0B58"/>
    <w:rsid w:val="003C4D41"/>
    <w:rsid w:val="00401C14"/>
    <w:rsid w:val="0042199F"/>
    <w:rsid w:val="00467E0E"/>
    <w:rsid w:val="004705D3"/>
    <w:rsid w:val="004740F1"/>
    <w:rsid w:val="00490445"/>
    <w:rsid w:val="004B1DC4"/>
    <w:rsid w:val="004D6439"/>
    <w:rsid w:val="004E08B4"/>
    <w:rsid w:val="004E5F3B"/>
    <w:rsid w:val="0050643A"/>
    <w:rsid w:val="00521618"/>
    <w:rsid w:val="0052310D"/>
    <w:rsid w:val="0052436C"/>
    <w:rsid w:val="00527171"/>
    <w:rsid w:val="00533566"/>
    <w:rsid w:val="00555EEC"/>
    <w:rsid w:val="005668E1"/>
    <w:rsid w:val="005749E5"/>
    <w:rsid w:val="005B0EAD"/>
    <w:rsid w:val="005B2F89"/>
    <w:rsid w:val="00612D49"/>
    <w:rsid w:val="00660257"/>
    <w:rsid w:val="006619A8"/>
    <w:rsid w:val="006704D5"/>
    <w:rsid w:val="006C076D"/>
    <w:rsid w:val="006D1053"/>
    <w:rsid w:val="006D74C9"/>
    <w:rsid w:val="006F349E"/>
    <w:rsid w:val="0074133F"/>
    <w:rsid w:val="00775549"/>
    <w:rsid w:val="00775D33"/>
    <w:rsid w:val="00796592"/>
    <w:rsid w:val="007B0DAC"/>
    <w:rsid w:val="007B4B4A"/>
    <w:rsid w:val="007E063A"/>
    <w:rsid w:val="007E2756"/>
    <w:rsid w:val="00802580"/>
    <w:rsid w:val="008200B3"/>
    <w:rsid w:val="00857DF3"/>
    <w:rsid w:val="00863F6B"/>
    <w:rsid w:val="00864AA7"/>
    <w:rsid w:val="008C0731"/>
    <w:rsid w:val="008F3BEE"/>
    <w:rsid w:val="009431CF"/>
    <w:rsid w:val="009607E3"/>
    <w:rsid w:val="0096155B"/>
    <w:rsid w:val="00991EE6"/>
    <w:rsid w:val="00993D95"/>
    <w:rsid w:val="009D32C8"/>
    <w:rsid w:val="009F154D"/>
    <w:rsid w:val="00A23E93"/>
    <w:rsid w:val="00A56552"/>
    <w:rsid w:val="00A76B7B"/>
    <w:rsid w:val="00A9690A"/>
    <w:rsid w:val="00AA00C9"/>
    <w:rsid w:val="00AB774F"/>
    <w:rsid w:val="00AC66CB"/>
    <w:rsid w:val="00AE685B"/>
    <w:rsid w:val="00B162C0"/>
    <w:rsid w:val="00B41AEB"/>
    <w:rsid w:val="00B425F8"/>
    <w:rsid w:val="00B67EC3"/>
    <w:rsid w:val="00B87B41"/>
    <w:rsid w:val="00BC367E"/>
    <w:rsid w:val="00BD61B9"/>
    <w:rsid w:val="00BE269C"/>
    <w:rsid w:val="00C05BDD"/>
    <w:rsid w:val="00C1349B"/>
    <w:rsid w:val="00C31D94"/>
    <w:rsid w:val="00C66841"/>
    <w:rsid w:val="00C77A56"/>
    <w:rsid w:val="00C80185"/>
    <w:rsid w:val="00C83597"/>
    <w:rsid w:val="00C86D4D"/>
    <w:rsid w:val="00C92E81"/>
    <w:rsid w:val="00CB2F0E"/>
    <w:rsid w:val="00CC49DF"/>
    <w:rsid w:val="00CF266D"/>
    <w:rsid w:val="00D118BD"/>
    <w:rsid w:val="00D15725"/>
    <w:rsid w:val="00D557ED"/>
    <w:rsid w:val="00D62D82"/>
    <w:rsid w:val="00D8312B"/>
    <w:rsid w:val="00DA47FB"/>
    <w:rsid w:val="00DB41CB"/>
    <w:rsid w:val="00DE12E3"/>
    <w:rsid w:val="00E06AFD"/>
    <w:rsid w:val="00E32C7E"/>
    <w:rsid w:val="00E364D6"/>
    <w:rsid w:val="00E415C5"/>
    <w:rsid w:val="00E41E2F"/>
    <w:rsid w:val="00E604A9"/>
    <w:rsid w:val="00E96623"/>
    <w:rsid w:val="00EA20DF"/>
    <w:rsid w:val="00EA3C67"/>
    <w:rsid w:val="00EA4903"/>
    <w:rsid w:val="00EB6622"/>
    <w:rsid w:val="00EB6E23"/>
    <w:rsid w:val="00ED2A33"/>
    <w:rsid w:val="00EE0767"/>
    <w:rsid w:val="00EE3859"/>
    <w:rsid w:val="00EE4A3B"/>
    <w:rsid w:val="00F33CDE"/>
    <w:rsid w:val="00F56D81"/>
    <w:rsid w:val="00F65F30"/>
    <w:rsid w:val="00F915FD"/>
    <w:rsid w:val="00F9300E"/>
    <w:rsid w:val="00F93A53"/>
    <w:rsid w:val="00FF184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semiHidden/>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semiHidden/>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1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10090">
      <w:bodyDiv w:val="1"/>
      <w:marLeft w:val="0"/>
      <w:marRight w:val="0"/>
      <w:marTop w:val="0"/>
      <w:marBottom w:val="0"/>
      <w:divBdr>
        <w:top w:val="none" w:sz="0" w:space="0" w:color="auto"/>
        <w:left w:val="none" w:sz="0" w:space="0" w:color="auto"/>
        <w:bottom w:val="none" w:sz="0" w:space="0" w:color="auto"/>
        <w:right w:val="none" w:sz="0" w:space="0" w:color="auto"/>
      </w:divBdr>
    </w:div>
    <w:div w:id="1390688771">
      <w:bodyDiv w:val="1"/>
      <w:marLeft w:val="0"/>
      <w:marRight w:val="0"/>
      <w:marTop w:val="0"/>
      <w:marBottom w:val="0"/>
      <w:divBdr>
        <w:top w:val="none" w:sz="0" w:space="0" w:color="auto"/>
        <w:left w:val="none" w:sz="0" w:space="0" w:color="auto"/>
        <w:bottom w:val="none" w:sz="0" w:space="0" w:color="auto"/>
        <w:right w:val="none" w:sz="0" w:space="0" w:color="auto"/>
      </w:divBdr>
    </w:div>
    <w:div w:id="1987471349">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ptumeap.com/newthismonth/zh-CN" TargetMode="External"/><Relationship Id="rId12" Type="http://schemas.openxmlformats.org/officeDocument/2006/relationships/hyperlink" Target="https://www.who.int/news-room/fact-sheets/detail/adolescent-mental-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551</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3285</cp:lastModifiedBy>
  <cp:revision>5</cp:revision>
  <dcterms:created xsi:type="dcterms:W3CDTF">2022-12-29T18:20:00Z</dcterms:created>
  <dcterms:modified xsi:type="dcterms:W3CDTF">2023-01-05T03:31:00Z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ies>
</file>