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0788B" w14:textId="0DD3542C" w:rsidR="00E94FD2" w:rsidRDefault="00446E4A" w:rsidP="004D590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2C8C" w14:textId="77777777" w:rsidR="00ED05C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5B3C27A4" w:rsidR="00E94FD2" w:rsidRPr="00BE0296" w:rsidRDefault="00ED05C9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t-BR"/>
                              </w:rPr>
                              <w:t>Construindo conscientização e</w:t>
                            </w:r>
                            <w:r w:rsidR="004D590F"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t-BR"/>
                              </w:rPr>
                              <w:t>estratégias práticas para apoiar familiares e amigos neurodivergentes</w:t>
                            </w:r>
                            <w:r>
                              <w:rPr>
                                <w:color w:val="002677"/>
                                <w:sz w:val="78"/>
                                <w:lang w:val="pt-B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27262C8C" w14:textId="77777777" w:rsidR="00ED05C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5B3C27A4" w:rsidR="00E94FD2" w:rsidRPr="00BE0296" w:rsidRDefault="00ED05C9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t-BR"/>
                        </w:rPr>
                        <w:t>Construindo conscientização e</w:t>
                      </w:r>
                      <w:r w:rsidR="004D590F"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t-BR"/>
                        </w:rPr>
                        <w:t> </w:t>
                      </w: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t-BR"/>
                        </w:rPr>
                        <w:t>estratégias práticas para apoiar familiares e amigos neurodivergentes</w:t>
                      </w:r>
                      <w:r>
                        <w:rPr>
                          <w:color w:val="002677"/>
                          <w:sz w:val="78"/>
                          <w:lang w:val="pt-B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A8A0B4D" w14:textId="77777777" w:rsidR="004D590F" w:rsidRDefault="004D590F" w:rsidP="00D44FCE">
      <w:pPr>
        <w:pStyle w:val="BodyText"/>
        <w:ind w:left="540"/>
        <w:rPr>
          <w:b/>
          <w:bCs/>
          <w:color w:val="002677"/>
          <w:sz w:val="34"/>
          <w:szCs w:val="22"/>
          <w:lang w:val="pt-BR"/>
        </w:rPr>
      </w:pPr>
    </w:p>
    <w:p w14:paraId="1713590C" w14:textId="77777777" w:rsidR="004D590F" w:rsidRDefault="004D590F" w:rsidP="00D44FCE">
      <w:pPr>
        <w:pStyle w:val="BodyText"/>
        <w:ind w:left="540"/>
        <w:rPr>
          <w:b/>
          <w:bCs/>
          <w:color w:val="002677"/>
          <w:sz w:val="34"/>
          <w:szCs w:val="22"/>
          <w:lang w:val="pt-BR"/>
        </w:rPr>
      </w:pPr>
    </w:p>
    <w:p w14:paraId="46DF4953" w14:textId="0CE061C4" w:rsidR="00E94FD2" w:rsidRDefault="00E659DD" w:rsidP="00D44FCE">
      <w:pPr>
        <w:pStyle w:val="BodyText"/>
        <w:ind w:left="54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agosto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120779" w14:textId="43FB038C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b/>
          <w:bCs/>
          <w:lang w:val="pt-BR"/>
        </w:rPr>
        <w:t>Construindo conscientização e estratégias práticas para apoiar familiares e amigos neurodivergentes</w:t>
      </w:r>
      <w:r>
        <w:rPr>
          <w:sz w:val="23"/>
          <w:szCs w:val="23"/>
          <w:lang w:val="pt-BR"/>
        </w:rPr>
        <w:t xml:space="preserve"> </w:t>
      </w:r>
      <w:bookmarkStart w:id="0" w:name="_Hlk137137816"/>
      <w:r>
        <w:rPr>
          <w:sz w:val="23"/>
          <w:szCs w:val="23"/>
          <w:lang w:val="pt-BR"/>
        </w:rPr>
        <w:t>Esta sessão tem como objetivo fornecer aos participantes insights valiosos e</w:t>
      </w:r>
      <w:r w:rsidR="004D590F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estratégias práticas para promover a compreensão e apoiar indivíduos neurodivergentes, especialmente familiares e amigos. A sessão explora a neurodiversidade, destacando as perspectivas e necessidades únicas de indivíduos com essas condições, com um foco específico em crianças. Por meio de resultados de pesquisas e exemplos da vida real, os participantes obterão uma compreensão das características comuns e desafios associados ao autismo e ao TDAH. A</w:t>
      </w:r>
      <w:r w:rsidR="004D590F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sessão então investiga estratégias de comunicação eficazes para promover relacionamentos positivos e reduzir mal-entendidos. Serão compartilhadas dicas práticas sobre como criar um ambiente de apoio, incluindo o estabelecimento de rotinas, o fornecimento de acomodações sensoriais e o uso de reforço positivo. O objetivo final desta sessão é capacitar os participantes a</w:t>
      </w:r>
      <w:r w:rsidR="004D590F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 xml:space="preserve">construírem pontes de empatia, compreensão e apoio, permitindo que façam uma diferença significativa na vida de seus familiares e amigos neurodivergentes. </w:t>
      </w:r>
    </w:p>
    <w:p w14:paraId="64B56D52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pt-BR"/>
        </w:rPr>
        <w:t> </w:t>
      </w:r>
    </w:p>
    <w:p w14:paraId="1F2FBDC1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t-BR"/>
        </w:rPr>
        <w:t>Os participantes irão:</w:t>
      </w:r>
    </w:p>
    <w:p w14:paraId="058F5C3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pt-BR"/>
        </w:rPr>
        <w:t>Obter insights sobre perspectivas e necessidades neurodivergentes.</w:t>
      </w:r>
    </w:p>
    <w:p w14:paraId="67D1B8A4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pt-BR"/>
        </w:rPr>
        <w:t>Aprender estratégias de comunicação eficazes</w:t>
      </w:r>
    </w:p>
    <w:p w14:paraId="73A565C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pt-BR"/>
        </w:rPr>
        <w:t>Descobrir dicas práticas para criar um ambiente de apoio</w:t>
      </w:r>
    </w:p>
    <w:p w14:paraId="2B3EB3AD" w14:textId="6744E595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pt-BR"/>
        </w:rPr>
        <w:lastRenderedPageBreak/>
        <w:t>Explorar diferentes abordagens para construir relacionamentos significativos com familiares e</w:t>
      </w:r>
      <w:r w:rsidR="004D590F">
        <w:rPr>
          <w:rFonts w:eastAsia="Times New Roman"/>
          <w:sz w:val="23"/>
          <w:szCs w:val="23"/>
          <w:lang w:val="pt-BR"/>
        </w:rPr>
        <w:t> </w:t>
      </w:r>
      <w:r>
        <w:rPr>
          <w:rFonts w:eastAsia="Times New Roman"/>
          <w:sz w:val="23"/>
          <w:szCs w:val="23"/>
          <w:lang w:val="pt-BR"/>
        </w:rPr>
        <w:t>amigos neurodivergentes</w:t>
      </w:r>
    </w:p>
    <w:bookmarkEnd w:id="0"/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pt-BR"/>
        </w:rPr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E659DD" w:rsidRPr="00466541" w14:paraId="37C0D7FB" w14:textId="3377453C" w:rsidTr="00D44FC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39821871" w14:textId="22EC5DA1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1E66A1EF" w14:textId="625F099D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42E72E22" w14:textId="395A1785" w:rsidR="008406BB" w:rsidRDefault="00000000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D44FCE">
                <w:rPr>
                  <w:rStyle w:val="Hyperlink"/>
                  <w:b/>
                  <w:bCs/>
                  <w:sz w:val="28"/>
                  <w:szCs w:val="28"/>
                  <w:lang w:val="pt-BR"/>
                </w:rPr>
                <w:t>Assista aqui</w:t>
              </w:r>
            </w:hyperlink>
          </w:p>
          <w:p w14:paraId="50450A0E" w14:textId="77777777" w:rsidR="008406BB" w:rsidRDefault="008406BB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06167B9B" w14:textId="6F73D5C5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color w:val="000000" w:themeColor="text1"/>
                <w:sz w:val="28"/>
                <w:szCs w:val="18"/>
                <w:lang w:val="pt-BR"/>
              </w:rPr>
              <w:t xml:space="preserve">Assista ao resumo de 10 minutos </w:t>
            </w: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  <w:lang w:val="pt-BR"/>
                </w:rPr>
                <w:t>aqui</w:t>
              </w:r>
            </w:hyperlink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2F57FFC8" w:rsidR="00E659DD" w:rsidRPr="00E0556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14 de agosto</w:t>
            </w:r>
          </w:p>
          <w:p w14:paraId="07F1C647" w14:textId="0C96532A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7h às 8h, horário de verão britânico</w:t>
            </w:r>
          </w:p>
          <w:p w14:paraId="28F4B4C1" w14:textId="4A5945E4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4D590F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9EC959E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6651E89" w:rsidR="00E659DD" w:rsidRPr="0066426F" w:rsidRDefault="00E659DD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15 de agosto</w:t>
            </w:r>
          </w:p>
          <w:p w14:paraId="7065DE9B" w14:textId="2B6F4972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18h, horário de verão britânico</w:t>
            </w:r>
          </w:p>
          <w:p w14:paraId="720960DD" w14:textId="3B7A3021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4D590F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5380B03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16B181A" w:rsidR="00E659DD" w:rsidRPr="0066426F" w:rsidRDefault="00B07641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16 de agosto</w:t>
            </w:r>
          </w:p>
          <w:p w14:paraId="295026FD" w14:textId="1ABDB01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18h, horário de verão britânico</w:t>
            </w:r>
          </w:p>
          <w:p w14:paraId="5C5B71C9" w14:textId="64D6244E" w:rsidR="00E659DD" w:rsidRPr="003E7D03" w:rsidRDefault="00E659DD" w:rsidP="004D590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4D590F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E78DC6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55790E21" w:rsidR="00B07641" w:rsidRPr="0066426F" w:rsidRDefault="00B0764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17 de agosto</w:t>
            </w:r>
          </w:p>
          <w:p w14:paraId="17AD62AA" w14:textId="77777777" w:rsidR="00B07641" w:rsidRPr="003E7D03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13h às 14h, horário de verão britânico</w:t>
            </w:r>
          </w:p>
          <w:p w14:paraId="71AECB94" w14:textId="7D9398F8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</w:t>
            </w:r>
            <w:r w:rsidR="004D590F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11712EEC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F2F44CA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pt-BR"/>
                              </w:rPr>
                              <w:t xml:space="preserve">O treinamento do próximo mês se concentrará na prevenção do suicídio. Fique de olho nos links de inscrição para participar da sessão ao vivo ou use a opção sob demanda para assistir à gravação quando lhe for conveniente.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F2F44CA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val="pt-br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O treinamento do próximo mês se concentrará na prevenção do suicídio. Fique de olho nos links de inscrição para participar da sessão ao vivo ou use a opção sob demanda para assistir à gravação quando lhe for conveniente.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pt-BR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077D005F" w:rsidR="009E14D1" w:rsidRDefault="009E14D1" w:rsidP="004D590F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4D5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</w:t>
      </w:r>
      <w:r w:rsidR="004D5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 profissional. Por causa de possíveis conflitos de interesse, não podemos oferecer consulta jurídica em casos que possam envolver ação jurídica contra a Optum e suas</w:t>
      </w:r>
      <w:r w:rsidR="004D5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</w:t>
      </w:r>
      <w:r w:rsidR="004D590F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participante receba tais serviços, seja direta ou indiretamente (ex.: empregadora ou plano de saúde). Este programa e todos os seus</w:t>
      </w:r>
      <w:r w:rsidR="004D5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4D5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Assistência ao Funcionário podem variar com base nos requisitos do contrato ou</w:t>
      </w:r>
      <w:r w:rsidR="004D5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1C97DA39" w:rsidR="00E94FD2" w:rsidRPr="005E614A" w:rsidRDefault="009E14D1" w:rsidP="004D590F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lastRenderedPageBreak/>
        <w:t>© 2023 Optum, Inc. Todos os direitos reservados. A Optum é uma marca registrada da Optum, Inc. nos Estados Unidos e em outras jurisdições. Todas as demais marcas ou os nomes de</w:t>
      </w:r>
      <w:r w:rsidR="004D5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8"/>
  </w:num>
  <w:num w:numId="6" w16cid:durableId="1547446166">
    <w:abstractNumId w:val="7"/>
  </w:num>
  <w:num w:numId="7" w16cid:durableId="950166687">
    <w:abstractNumId w:val="5"/>
  </w:num>
  <w:num w:numId="8" w16cid:durableId="1086028517">
    <w:abstractNumId w:val="1"/>
  </w:num>
  <w:num w:numId="9" w16cid:durableId="56599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D590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D2802"/>
    <w:rsid w:val="00BE0296"/>
    <w:rsid w:val="00C03BD1"/>
    <w:rsid w:val="00C82C90"/>
    <w:rsid w:val="00CB45A2"/>
    <w:rsid w:val="00CE3C03"/>
    <w:rsid w:val="00CE6430"/>
    <w:rsid w:val="00D44FCE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05C9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723d5059e723103bb99f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3</cp:revision>
  <dcterms:created xsi:type="dcterms:W3CDTF">2023-06-22T16:34:00Z</dcterms:created>
  <dcterms:modified xsi:type="dcterms:W3CDTF">2023-07-08T01:58:00Z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