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0B1D46BB" w14:textId="1AA57EBF" w:rsidR="004F3E6D" w:rsidRDefault="00446E4A" w:rsidP="00FB4C75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62C8C" w14:textId="77777777" w:rsidR="00ED05C9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członków:</w:t>
                            </w:r>
                          </w:p>
                          <w:p w14:paraId="22FD5E98" w14:textId="77777777" w:rsidR="00FB4C75" w:rsidRDefault="00ED05C9" w:rsidP="00FB4C75">
                            <w:pPr>
                              <w:spacing w:line="863" w:lineRule="exact"/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p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pl"/>
                              </w:rPr>
                              <w:t xml:space="preserve">Budowanie świadomości </w:t>
                            </w:r>
                          </w:p>
                          <w:p w14:paraId="3A12A25E" w14:textId="64957D2C" w:rsidR="00E94FD2" w:rsidRPr="00FB4C75" w:rsidRDefault="00ED05C9" w:rsidP="00FB4C75">
                            <w:pPr>
                              <w:spacing w:line="863" w:lineRule="exact"/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p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pl"/>
                              </w:rPr>
                              <w:t>i</w:t>
                            </w:r>
                            <w:r w:rsidR="00FB4C75"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pl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pl"/>
                              </w:rPr>
                              <w:t>praktyczne strategie wspierania rodziny i przyjaciół osób z</w:t>
                            </w:r>
                            <w:r w:rsidR="00FB4C75"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pl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pl"/>
                              </w:rPr>
                              <w:t>zaburzeniami neuroróżnorodnymi</w:t>
                            </w:r>
                            <w:r>
                              <w:rPr>
                                <w:color w:val="002677"/>
                                <w:sz w:val="78"/>
                                <w:lang w:val="p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27262C8C" w14:textId="77777777" w:rsidR="00ED05C9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członków:</w:t>
                      </w:r>
                    </w:p>
                    <w:p w14:paraId="22FD5E98" w14:textId="77777777" w:rsidR="00FB4C75" w:rsidRDefault="00ED05C9" w:rsidP="00FB4C75">
                      <w:pPr>
                        <w:spacing w:line="863" w:lineRule="exact"/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pl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pl"/>
                        </w:rPr>
                        <w:t xml:space="preserve">Budowanie świadomości </w:t>
                      </w:r>
                    </w:p>
                    <w:p w14:paraId="3A12A25E" w14:textId="64957D2C" w:rsidR="00E94FD2" w:rsidRPr="00FB4C75" w:rsidRDefault="00ED05C9" w:rsidP="00FB4C75">
                      <w:pPr>
                        <w:spacing w:line="863" w:lineRule="exact"/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pl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pl"/>
                        </w:rPr>
                        <w:t>i</w:t>
                      </w:r>
                      <w:r w:rsidR="00FB4C75"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pl"/>
                        </w:rPr>
                        <w:t> </w:t>
                      </w: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pl"/>
                        </w:rPr>
                        <w:t>praktyczne strategie wspierania rodziny i przyjaciół osób z</w:t>
                      </w:r>
                      <w:r w:rsidR="00FB4C75"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pl"/>
                        </w:rPr>
                        <w:t> </w:t>
                      </w: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pl"/>
                        </w:rPr>
                        <w:t>zaburzeniami neuroróżnorodnymi</w:t>
                      </w:r>
                      <w:r>
                        <w:rPr>
                          <w:color w:val="002677"/>
                          <w:sz w:val="78"/>
                          <w:lang w:val="p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6DCD20C5" w14:textId="77777777" w:rsidR="00FB4C75" w:rsidRDefault="00FB4C75" w:rsidP="00D44FCE">
      <w:pPr>
        <w:pStyle w:val="BodyText"/>
        <w:ind w:left="540"/>
        <w:rPr>
          <w:b/>
          <w:bCs/>
          <w:color w:val="002677"/>
          <w:sz w:val="34"/>
          <w:szCs w:val="22"/>
          <w:lang w:val="pl"/>
        </w:rPr>
      </w:pPr>
    </w:p>
    <w:p w14:paraId="4E4E1C3B" w14:textId="77777777" w:rsidR="00FB4C75" w:rsidRDefault="00FB4C75" w:rsidP="00D44FCE">
      <w:pPr>
        <w:pStyle w:val="BodyText"/>
        <w:ind w:left="540"/>
        <w:rPr>
          <w:b/>
          <w:bCs/>
          <w:color w:val="002677"/>
          <w:sz w:val="34"/>
          <w:szCs w:val="22"/>
          <w:lang w:val="pl"/>
        </w:rPr>
      </w:pPr>
    </w:p>
    <w:p w14:paraId="329AEAFC" w14:textId="77777777" w:rsidR="00FB4C75" w:rsidRDefault="00FB4C75" w:rsidP="00D44FCE">
      <w:pPr>
        <w:pStyle w:val="BodyText"/>
        <w:ind w:left="540"/>
        <w:rPr>
          <w:b/>
          <w:bCs/>
          <w:color w:val="002677"/>
          <w:sz w:val="34"/>
          <w:szCs w:val="22"/>
          <w:lang w:val="pl"/>
        </w:rPr>
      </w:pPr>
    </w:p>
    <w:p w14:paraId="46DF4953" w14:textId="259DD256" w:rsidR="00E94FD2" w:rsidRDefault="00E659DD" w:rsidP="00D44FCE">
      <w:pPr>
        <w:pStyle w:val="BodyText"/>
        <w:ind w:left="54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l"/>
        </w:rPr>
        <w:t>Sierpniowe szkolenie tematyczne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120779" w14:textId="1461BA58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b/>
          <w:bCs/>
          <w:lang w:val="pl"/>
        </w:rPr>
        <w:t>Budowanie świadomości i praktyczne strategie wspierania rodziny i przyjaciół osób z zaburzeniami neuroróżnorodnymi</w:t>
      </w:r>
      <w:r>
        <w:rPr>
          <w:sz w:val="23"/>
          <w:szCs w:val="23"/>
          <w:lang w:val="pl"/>
        </w:rPr>
        <w:t xml:space="preserve"> </w:t>
      </w:r>
      <w:bookmarkStart w:id="0" w:name="_Hlk137137816"/>
      <w:r>
        <w:rPr>
          <w:sz w:val="23"/>
          <w:szCs w:val="23"/>
          <w:lang w:val="pl"/>
        </w:rPr>
        <w:t xml:space="preserve">Sesja ta ma na celu przedstawienie uczestnikom cennych spostrzeżeń i praktycznych strategii sprzyjających zrozumieniu i wspieraniu osób z zaburzeniami neuroróżnorodnymi, w szczególności rodziny i przyjaciół. Sesja poświęcona jest neuroróżnorodności i podkreśla wyjątkowe perspektywy i potrzeby osób cierpiących na te schorzenia, ze szczególnym uwzględnieniem dzieci. Dzięki wynikom badań i przykładom z życia uczestnicy zrozumieją wspólne cechy i wyzwania związane z autyzmem i ADHD. Następnie sesja zagłębia się w skuteczne strategie komunikacyjne w celu wspierania pozytywnych relacji i ograniczania występowania nieporozumień. Podzielimy się praktycznymi wskazówkami na temat tworzenia wspierającego środowiska, w tym wprowadzania rutynowych czynności, zapewniania dostosowań sensorycznych i stosowania pozytywnych wzmocnień. Ostatecznym celem tej sesji jest umożliwienie uczestnikom budowania mostów empatii, zrozumienia i wsparcia, umożliwiając im dokonanie znaczącej zmiany w życiu ich neuroróżnorodnej rodziny i przyjaciół. </w:t>
      </w:r>
    </w:p>
    <w:p w14:paraId="64B56D52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pl"/>
        </w:rPr>
        <w:t> </w:t>
      </w:r>
    </w:p>
    <w:p w14:paraId="1F2FBDC1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pl"/>
        </w:rPr>
        <w:t>Uczestnicy:</w:t>
      </w:r>
    </w:p>
    <w:p w14:paraId="058F5C3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pl"/>
        </w:rPr>
        <w:t>Poznają perspektywy i potrzeby osób neuroróżnorodnych</w:t>
      </w:r>
    </w:p>
    <w:p w14:paraId="67D1B8A4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pl"/>
        </w:rPr>
        <w:t>Dowiedzą się jak wypracować efektywne strategie komunikacyjne</w:t>
      </w:r>
    </w:p>
    <w:p w14:paraId="73A565C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pl"/>
        </w:rPr>
        <w:lastRenderedPageBreak/>
        <w:t>Uzyskają praktyczne wskazówki dotyczące tworzenia wspierającego środowiska</w:t>
      </w:r>
    </w:p>
    <w:p w14:paraId="2B3EB3AD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pl"/>
        </w:rPr>
        <w:t>Przeanalizują różne podejścia do budowania znaczących relacji z neuroróżnorodną rodziną i przyjaciółmi.</w:t>
      </w:r>
    </w:p>
    <w:bookmarkEnd w:id="0"/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val="pl"/>
        </w:rPr>
        <w:t>Zarejestruj się na godzinną sesję szkoleniową na żywo lub skorzystaj z opcji „na żądanie”, aby obejrzeć szkolenie w dogodnym dla siebie terminie. Materiały szkoleniowe przygotowano w języku angielskim i są one dostępne na całym świecie.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108"/>
      </w:tblGrid>
      <w:tr w:rsidR="00E659DD" w:rsidRPr="00466541" w14:paraId="37C0D7FB" w14:textId="3377453C" w:rsidTr="00D44FCE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Nagrane sesje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 żądanie</w:t>
            </w:r>
          </w:p>
          <w:p w14:paraId="39821871" w14:textId="22EC5DA1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(bez pytań i odpowiedzi)</w:t>
            </w:r>
          </w:p>
          <w:p w14:paraId="1E66A1EF" w14:textId="625F099D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42E72E22" w14:textId="395A1785" w:rsidR="008406BB" w:rsidRDefault="00000000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D44FCE">
                <w:rPr>
                  <w:rStyle w:val="Hyperlink"/>
                  <w:b/>
                  <w:bCs/>
                  <w:sz w:val="28"/>
                  <w:szCs w:val="28"/>
                  <w:lang w:val="pl"/>
                </w:rPr>
                <w:t>Obejrzyj tutaj</w:t>
              </w:r>
            </w:hyperlink>
          </w:p>
          <w:p w14:paraId="50450A0E" w14:textId="77777777" w:rsidR="008406BB" w:rsidRDefault="008406BB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Masz mało czasu?</w:t>
            </w:r>
          </w:p>
          <w:p w14:paraId="06167B9B" w14:textId="6F73D5C5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color w:val="000000" w:themeColor="text1"/>
                <w:sz w:val="28"/>
                <w:szCs w:val="18"/>
                <w:u w:val="single"/>
                <w:lang w:val="pl"/>
              </w:rPr>
              <w:t>Obejrzyj 10-minutowe streszczenie</w:t>
            </w:r>
            <w:r>
              <w:rPr>
                <w:b/>
                <w:bCs/>
                <w:color w:val="000000" w:themeColor="text1"/>
                <w:sz w:val="28"/>
                <w:szCs w:val="18"/>
                <w:lang w:val="pl"/>
              </w:rPr>
              <w:t xml:space="preserve"> </w:t>
            </w:r>
            <w:hyperlink r:id="rId12" w:history="1">
              <w:r>
                <w:rPr>
                  <w:rStyle w:val="Hyperlink"/>
                  <w:b/>
                  <w:bCs/>
                  <w:sz w:val="28"/>
                  <w:szCs w:val="28"/>
                  <w:lang w:val="pl"/>
                </w:rPr>
                <w:t>tutaj</w:t>
              </w:r>
            </w:hyperlink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2F57FFC8" w:rsidR="00E659DD" w:rsidRPr="00E0556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14 sierpnia</w:t>
            </w:r>
          </w:p>
          <w:p w14:paraId="07F1C647" w14:textId="0C96532A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07:00-08:00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9EC959E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6651E89" w:rsidR="00E659DD" w:rsidRPr="0066426F" w:rsidRDefault="00E659DD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15 sierpnia</w:t>
            </w:r>
          </w:p>
          <w:p w14:paraId="7065DE9B" w14:textId="2B6F4972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17:00-18:00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5380B03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16B181A" w:rsidR="00E659DD" w:rsidRPr="0066426F" w:rsidRDefault="00B07641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16 sierpnia</w:t>
            </w:r>
          </w:p>
          <w:p w14:paraId="295026FD" w14:textId="1ABDB01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19:00-20:00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1E78DC6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08" w:type="dxa"/>
            <w:shd w:val="clear" w:color="auto" w:fill="FBF9F4"/>
          </w:tcPr>
          <w:p w14:paraId="65C99B68" w14:textId="55790E21" w:rsidR="00B07641" w:rsidRPr="0066426F" w:rsidRDefault="00B07641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17 sierpnia</w:t>
            </w:r>
          </w:p>
          <w:p w14:paraId="17AD62AA" w14:textId="77777777" w:rsidR="00B07641" w:rsidRPr="003E7D03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13:00-14:00 BST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11712EEC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l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pl"/>
        </w:rPr>
        <w:t xml:space="preserve">Liczba miejsc na sesjach szkoleniowych prowadzonych na żywo jest ograniczona, dlatego wymagana jest wcześniejsza rejestracja.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1F2F44CA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val="pl"/>
                              </w:rPr>
                              <w:t xml:space="preserve">Szkolenie w nadchodzącym miesiącu skupi się na zapobieganiu samobójstwom. Sprawdzaj odnośniki do rejestracji, aby dołączyć do sesji na żywo lub skorzystaj z możliwości oglądania na żądanie w dogodnym dla siebie terminie.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1F2F44CA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  <w:bidi w:val="0"/>
                      </w:pPr>
                      <w:r>
                        <w:rPr>
                          <w:color w:val="002677"/>
                          <w:lang w:val="pl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Szkolenie w nadchodzącym miesiącu skupi się na zapobieganiu samobójstwom. Sprawdzaj linki do rejestracji, aby dołączyć do sesji na żywo lub skorzystaj z możliwości oglądania na żądanie w dogodnym dla siebie terminie.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pl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pl"/>
        </w:rPr>
        <w:t>Rozpocznij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50C77C10" w14:textId="28FB462D" w:rsidR="009E14D1" w:rsidRPr="009E14D1" w:rsidRDefault="009E14D1" w:rsidP="00FB4C75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l"/>
        </w:rPr>
        <w:t>Program ten nie może być wykorzystywany w przypadku nagłych lub pilnych potrzeb związanych z opieką. W nagłym przypadku w Stanach Zjednoczonych należy zadzwonić pod numer 911, a poza Stanami Zjednoczonymi</w:t>
      </w:r>
      <w:r w:rsidR="00FB4C75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pod numer telefonu lokalnych służb ratunkowych lub udać się na najbliższy oddział ratunkowy. Program nie zastępuje opieki lekarza ani</w:t>
      </w:r>
      <w:r w:rsidR="00FB4C75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specjalisty. W sprawach, które mogą wiązać się z podjęciem działań prawnych przeciwko Optum albo jej podmiotom powiązanym lub podmiotom, </w:t>
      </w:r>
      <w:r w:rsidR="00FB4C75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 pośrednictwem których osoba dzwoniąca uzyskuje te usługi bezpośrednio lub pośrednio (np. pracodawca lub plan ubezpieczenia zdrowotnego), konsultacje prawne nie będą udzielane ze względu na możliwość wystąpienia konfliktu interesów. Ten program i wszystkie jego</w:t>
      </w:r>
      <w:r w:rsidR="00FB4C75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elementy, a w szczególności usługi dla członków rodziny w wieku poniżej 16 lat, mogą nie być dostępne we wszystkich lokalizacjach i mogą ulec zmianie bez wcześniejszego</w:t>
      </w:r>
      <w:r w:rsidR="00FB4C75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powiadomienia. Doświadczenie i/lub poziom wykształcenia zasobów programu pomocy pracowniczej mogą się różnić w zależności od wymogów umowy lub przepisów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l"/>
        </w:rPr>
        <w:lastRenderedPageBreak/>
        <w:t>prawnych danego kraju. Mogą obowiązywać pewne wyjątki i ograniczenia dotyczące ubezpieczenia.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43F0CEA7" w:rsidR="00E94FD2" w:rsidRPr="005E614A" w:rsidRDefault="009E14D1" w:rsidP="00FB4C75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l"/>
        </w:rPr>
        <w:t>© 2023 Optum, Inc. Wszelkie prawa zastrzeżone. Optum jest zastrzeżonym znakiem towarowym firmy Optum, Inc. w USA i innych jurysdykcjach. Wszystkie inne nazwy marek lub produktów</w:t>
      </w:r>
      <w:r w:rsidR="00FB4C75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są znakami towarowymi lub zarejestrowanymi znakami własności ich odpowiednich właścicieli. Optum jest pracodawcą zapewniającym równe szanse.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8"/>
  </w:num>
  <w:num w:numId="6" w16cid:durableId="1547446166">
    <w:abstractNumId w:val="7"/>
  </w:num>
  <w:num w:numId="7" w16cid:durableId="950166687">
    <w:abstractNumId w:val="5"/>
  </w:num>
  <w:num w:numId="8" w16cid:durableId="1086028517">
    <w:abstractNumId w:val="1"/>
  </w:num>
  <w:num w:numId="9" w16cid:durableId="565998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D2802"/>
    <w:rsid w:val="00BE0296"/>
    <w:rsid w:val="00C03BD1"/>
    <w:rsid w:val="00C82C90"/>
    <w:rsid w:val="00CB45A2"/>
    <w:rsid w:val="00CE3C03"/>
    <w:rsid w:val="00CE6430"/>
    <w:rsid w:val="00D44FCE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D05C9"/>
    <w:rsid w:val="00EE160C"/>
    <w:rsid w:val="00EF00B7"/>
    <w:rsid w:val="00EF77D9"/>
    <w:rsid w:val="00F45DE7"/>
    <w:rsid w:val="00F66A40"/>
    <w:rsid w:val="00FB4C75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1h3Q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c43093b0e897103b9eff00505681f8ac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1hOQ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723d5059e723103bb99f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A1hNQAS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1h8Q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3</cp:revision>
  <dcterms:created xsi:type="dcterms:W3CDTF">2023-06-22T16:34:00Z</dcterms:created>
  <dcterms:modified xsi:type="dcterms:W3CDTF">2023-07-08T01:57:00Z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